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5373E">
      <w:pPr>
        <w:tabs>
          <w:tab w:val="center" w:pos="4536"/>
          <w:tab w:val="right" w:pos="9639"/>
        </w:tabs>
        <w:spacing w:before="120" w:after="120" w:line="240" w:lineRule="auto"/>
        <w:ind w:right="2"/>
        <w:rPr>
          <w:rFonts w:hint="eastAsia" w:ascii="Arial" w:hAnsi="Arial" w:eastAsia="宋体" w:cs="Arial"/>
          <w:b/>
          <w:bCs/>
          <w:sz w:val="22"/>
          <w:szCs w:val="22"/>
          <w:highlight w:val="none"/>
          <w:lang w:val="en-US" w:eastAsia="ja-JP"/>
        </w:rPr>
      </w:pPr>
      <w:bookmarkStart w:id="5" w:name="_GoBack"/>
      <w:r>
        <w:rPr>
          <w:rFonts w:ascii="Arial" w:hAnsi="Arial" w:cs="Arial"/>
          <w:b/>
          <w:bCs/>
          <w:sz w:val="22"/>
          <w:szCs w:val="22"/>
          <w:highlight w:val="none"/>
          <w:lang w:eastAsia="ja-JP"/>
        </w:rPr>
        <w:t>3GPP TSG RAN meeting #</w:t>
      </w:r>
      <w:r>
        <w:rPr>
          <w:rFonts w:hint="eastAsia" w:ascii="Arial" w:hAnsi="Arial" w:cs="Arial"/>
          <w:b/>
          <w:bCs/>
          <w:sz w:val="22"/>
          <w:szCs w:val="22"/>
          <w:highlight w:val="none"/>
        </w:rPr>
        <w:t>10</w:t>
      </w:r>
      <w:r>
        <w:rPr>
          <w:rFonts w:hint="eastAsia" w:ascii="Arial" w:hAnsi="Arial" w:cs="Arial"/>
          <w:b/>
          <w:bCs/>
          <w:sz w:val="22"/>
          <w:szCs w:val="22"/>
          <w:highlight w:val="none"/>
          <w:lang w:val="en-US" w:eastAsia="zh-CN"/>
        </w:rPr>
        <w:t>9</w:t>
      </w:r>
      <w:r>
        <w:rPr>
          <w:rFonts w:ascii="Arial" w:hAnsi="Arial" w:cs="Arial"/>
          <w:b/>
          <w:bCs/>
          <w:sz w:val="22"/>
          <w:szCs w:val="22"/>
          <w:highlight w:val="none"/>
        </w:rPr>
        <w:t xml:space="preserve"> </w:t>
      </w:r>
      <w:r>
        <w:rPr>
          <w:rFonts w:ascii="Arial" w:hAnsi="Arial" w:cs="Arial"/>
          <w:b/>
          <w:bCs/>
          <w:sz w:val="22"/>
          <w:szCs w:val="22"/>
          <w:highlight w:val="none"/>
          <w:lang w:eastAsia="ja-JP"/>
        </w:rPr>
        <w:t xml:space="preserve">                                          </w:t>
      </w:r>
      <w:r>
        <w:rPr>
          <w:rFonts w:hint="eastAsia" w:ascii="Arial" w:hAnsi="Arial" w:cs="Arial"/>
          <w:b/>
          <w:bCs/>
          <w:sz w:val="22"/>
          <w:szCs w:val="22"/>
          <w:highlight w:val="none"/>
        </w:rPr>
        <w:t xml:space="preserve">      </w:t>
      </w:r>
      <w:r>
        <w:rPr>
          <w:rFonts w:hint="eastAsia" w:ascii="Arial" w:hAnsi="Arial" w:cs="Arial"/>
          <w:b/>
          <w:bCs/>
          <w:sz w:val="22"/>
          <w:szCs w:val="22"/>
          <w:highlight w:val="none"/>
          <w:lang w:eastAsia="ja-JP"/>
        </w:rPr>
        <w:t>RP-252038</w:t>
      </w:r>
    </w:p>
    <w:p w14:paraId="6EC13DA3">
      <w:pPr>
        <w:pStyle w:val="120"/>
        <w:spacing w:before="120" w:after="120"/>
        <w:rPr>
          <w:highlight w:val="none"/>
        </w:rPr>
      </w:pPr>
      <w:r>
        <w:rPr>
          <w:rFonts w:hint="eastAsia"/>
          <w:highlight w:val="none"/>
          <w:lang w:val="en-US" w:eastAsia="zh-CN"/>
        </w:rPr>
        <w:t>Beijing</w:t>
      </w:r>
      <w:r>
        <w:rPr>
          <w:rFonts w:hint="eastAsia"/>
          <w:highlight w:val="none"/>
        </w:rPr>
        <w:t xml:space="preserve">, </w:t>
      </w:r>
      <w:r>
        <w:rPr>
          <w:rFonts w:hint="eastAsia"/>
          <w:highlight w:val="none"/>
          <w:lang w:val="en-US" w:eastAsia="zh-CN"/>
        </w:rPr>
        <w:t>China</w:t>
      </w:r>
      <w:r>
        <w:rPr>
          <w:rFonts w:hint="eastAsia"/>
          <w:highlight w:val="none"/>
        </w:rPr>
        <w:t xml:space="preserve">, </w:t>
      </w:r>
      <w:r>
        <w:rPr>
          <w:rFonts w:hint="eastAsia"/>
          <w:highlight w:val="none"/>
          <w:lang w:val="en-US" w:eastAsia="zh-CN"/>
        </w:rPr>
        <w:t>Sep</w:t>
      </w:r>
      <w:r>
        <w:rPr>
          <w:rFonts w:hint="eastAsia"/>
          <w:highlight w:val="none"/>
        </w:rPr>
        <w:t xml:space="preserve"> </w:t>
      </w:r>
      <w:r>
        <w:rPr>
          <w:rFonts w:hint="eastAsia"/>
          <w:highlight w:val="none"/>
          <w:lang w:val="en-US" w:eastAsia="zh-CN"/>
        </w:rPr>
        <w:t>15</w:t>
      </w:r>
      <w:r>
        <w:rPr>
          <w:rFonts w:hint="eastAsia"/>
          <w:highlight w:val="none"/>
        </w:rPr>
        <w:t>-1</w:t>
      </w:r>
      <w:r>
        <w:rPr>
          <w:rFonts w:hint="eastAsia"/>
          <w:highlight w:val="none"/>
          <w:lang w:val="en-US" w:eastAsia="zh-CN"/>
        </w:rPr>
        <w:t>8</w:t>
      </w:r>
      <w:r>
        <w:rPr>
          <w:rFonts w:hint="eastAsia"/>
          <w:highlight w:val="none"/>
        </w:rPr>
        <w:t>, 2025</w:t>
      </w:r>
    </w:p>
    <w:p w14:paraId="09023B85">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Views on Rel-20 NTN topics for 5G-A</w:t>
      </w:r>
    </w:p>
    <w:p w14:paraId="5178814D">
      <w:pPr>
        <w:tabs>
          <w:tab w:val="left" w:pos="1985"/>
        </w:tabs>
        <w:spacing w:after="180"/>
        <w:ind w:left="1980" w:hanging="1980"/>
        <w:rPr>
          <w:rFonts w:hint="eastAsia" w:ascii="Arial" w:hAnsi="Arial" w:eastAsia="MS Mincho"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eastAsia="MS Mincho" w:cs="Arial"/>
          <w:b/>
          <w:sz w:val="24"/>
          <w:szCs w:val="24"/>
          <w:highlight w:val="none"/>
          <w:lang w:eastAsia="en-US"/>
        </w:rPr>
        <w:t xml:space="preserve"> Corporatio</w:t>
      </w:r>
      <w:r>
        <w:rPr>
          <w:rFonts w:hint="eastAsia" w:ascii="Arial" w:hAnsi="Arial" w:cs="Arial"/>
          <w:b/>
          <w:sz w:val="24"/>
          <w:szCs w:val="24"/>
          <w:highlight w:val="none"/>
        </w:rPr>
        <w:t>n</w:t>
      </w:r>
      <w:r>
        <w:rPr>
          <w:rFonts w:hint="eastAsia" w:ascii="Arial" w:hAnsi="Arial" w:cs="Arial"/>
          <w:b/>
          <w:sz w:val="24"/>
          <w:szCs w:val="24"/>
          <w:highlight w:val="none"/>
          <w:lang w:val="en-US" w:eastAsia="zh-CN"/>
        </w:rPr>
        <w:t>,</w:t>
      </w:r>
      <w:r>
        <w:rPr>
          <w:rFonts w:ascii="Arial" w:hAnsi="Arial"/>
          <w:b/>
          <w:sz w:val="22"/>
          <w:szCs w:val="22"/>
          <w:highlight w:val="none"/>
        </w:rPr>
        <w:t>Sanechips</w:t>
      </w:r>
      <w:r>
        <w:rPr>
          <w:rFonts w:hint="eastAsia" w:ascii="Arial" w:hAnsi="Arial" w:eastAsia="MS Mincho" w:cs="Arial"/>
          <w:b/>
          <w:sz w:val="24"/>
          <w:szCs w:val="24"/>
          <w:highlight w:val="none"/>
        </w:rPr>
        <w:t xml:space="preserve"> </w:t>
      </w:r>
    </w:p>
    <w:p w14:paraId="166637AD">
      <w:pPr>
        <w:tabs>
          <w:tab w:val="left" w:pos="1985"/>
        </w:tabs>
        <w:spacing w:before="120" w:after="120"/>
        <w:rPr>
          <w:rFonts w:ascii="Arial" w:hAnsi="Arial" w:eastAsia="MS Mincho" w:cs="Arial"/>
          <w:b/>
          <w:sz w:val="24"/>
          <w:szCs w:val="24"/>
          <w:highlight w:val="none"/>
          <w:lang w:eastAsia="en-US"/>
        </w:rPr>
      </w:pPr>
      <w:r>
        <w:rPr>
          <w:rFonts w:ascii="Arial" w:hAnsi="Arial"/>
          <w:b/>
          <w:sz w:val="22"/>
          <w:szCs w:val="22"/>
          <w:highlight w:val="none"/>
          <w:lang w:val="pt-BR"/>
        </w:rPr>
        <w:t>Agenda item:</w:t>
      </w:r>
      <w:r>
        <w:rPr>
          <w:rFonts w:ascii="Arial" w:hAnsi="Arial"/>
          <w:b/>
          <w:sz w:val="22"/>
          <w:szCs w:val="22"/>
          <w:highlight w:val="none"/>
          <w:lang w:val="pt-BR"/>
        </w:rPr>
        <w:tab/>
      </w:r>
      <w:r>
        <w:rPr>
          <w:rFonts w:hint="eastAsia" w:ascii="Arial" w:hAnsi="Arial"/>
          <w:b/>
          <w:sz w:val="22"/>
          <w:szCs w:val="22"/>
          <w:highlight w:val="none"/>
        </w:rPr>
        <w:t>9.1.4.6</w:t>
      </w:r>
    </w:p>
    <w:p w14:paraId="6A729D0B">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Discussion  </w:t>
      </w:r>
    </w:p>
    <w:p w14:paraId="49FFADD9">
      <w:pPr>
        <w:pStyle w:val="59"/>
        <w:tabs>
          <w:tab w:val="left" w:pos="567"/>
          <w:tab w:val="clear" w:pos="1985"/>
        </w:tabs>
        <w:adjustRightInd w:val="0"/>
        <w:ind w:left="510" w:hanging="510"/>
        <w:rPr>
          <w:highlight w:val="none"/>
        </w:rPr>
      </w:pPr>
      <w:r>
        <w:rPr>
          <w:highlight w:val="none"/>
        </w:rPr>
        <w:t>Introduction</w:t>
      </w:r>
    </w:p>
    <w:p w14:paraId="2C547E6F">
      <w:pPr>
        <w:spacing w:after="0"/>
        <w:jc w:val="left"/>
        <w:rPr>
          <w:rFonts w:hint="default" w:eastAsiaTheme="minorEastAsia"/>
          <w:highlight w:val="none"/>
          <w:lang w:val="en-US" w:eastAsia="zh-CN"/>
        </w:rPr>
      </w:pPr>
      <w:bookmarkStart w:id="1" w:name="OLE_LINK13"/>
      <w:bookmarkStart w:id="2" w:name="OLE_LINK14"/>
      <w:bookmarkStart w:id="3" w:name="OLE_LINK20"/>
      <w:bookmarkStart w:id="4" w:name="OLE_LINK10"/>
      <w:r>
        <w:rPr>
          <w:rFonts w:hint="eastAsia" w:eastAsiaTheme="minorEastAsia"/>
          <w:highlight w:val="none"/>
          <w:lang w:val="en-US" w:eastAsia="zh-CN"/>
        </w:rPr>
        <w:t xml:space="preserve">In the RAN#108 meeting, there were lots of discussions on Rel-20 RAN4 package and the discussion outcomes are endorsed in the way </w:t>
      </w:r>
      <w:r>
        <w:rPr>
          <w:rFonts w:hint="default" w:ascii="Times New Roman" w:hAnsi="Times New Roman" w:eastAsia="宋体" w:cs="Times New Roman"/>
          <w:kern w:val="2"/>
          <w:sz w:val="20"/>
          <w:szCs w:val="20"/>
          <w:highlight w:val="none"/>
          <w:lang w:val="en-US" w:eastAsia="zh-CN" w:bidi="ar-SA"/>
        </w:rPr>
        <w:t>forward on RAN4 R20 package</w:t>
      </w:r>
      <w:r>
        <w:rPr>
          <w:rFonts w:hint="eastAsia" w:cs="Times New Roman"/>
          <w:kern w:val="2"/>
          <w:sz w:val="20"/>
          <w:szCs w:val="20"/>
          <w:highlight w:val="none"/>
          <w:lang w:val="en-US" w:eastAsia="zh-CN" w:bidi="ar-SA"/>
        </w:rPr>
        <w:t xml:space="preserve"> </w:t>
      </w:r>
      <w:r>
        <w:rPr>
          <w:rFonts w:hint="eastAsia" w:eastAsiaTheme="minorEastAsia"/>
          <w:highlight w:val="none"/>
          <w:lang w:val="en-US" w:eastAsia="zh-CN"/>
        </w:rPr>
        <w:t xml:space="preserve">[1]. In this contribution, we would like to share some further views on Rel-20 NTN topics for 5G-A. </w:t>
      </w:r>
    </w:p>
    <w:p w14:paraId="290750E3">
      <w:pPr>
        <w:pStyle w:val="59"/>
        <w:tabs>
          <w:tab w:val="left" w:pos="567"/>
          <w:tab w:val="clear" w:pos="1985"/>
        </w:tabs>
        <w:adjustRightInd w:val="0"/>
        <w:ind w:left="510" w:hanging="510"/>
        <w:rPr>
          <w:rFonts w:eastAsia="Times New Roman"/>
          <w:highlight w:val="none"/>
        </w:rPr>
      </w:pPr>
      <w:r>
        <w:rPr>
          <w:rFonts w:hint="eastAsia"/>
          <w:highlight w:val="none"/>
        </w:rPr>
        <w:t>Discussion</w:t>
      </w:r>
      <w:r>
        <w:rPr>
          <w:rFonts w:hint="eastAsia" w:eastAsia="Times New Roman"/>
          <w:highlight w:val="none"/>
        </w:rPr>
        <w:t xml:space="preserve"> </w:t>
      </w:r>
    </w:p>
    <w:p w14:paraId="22356F45">
      <w:pPr>
        <w:pStyle w:val="59"/>
        <w:numPr>
          <w:ilvl w:val="0"/>
          <w:numId w:val="0"/>
        </w:numPr>
        <w:tabs>
          <w:tab w:val="left" w:pos="567"/>
          <w:tab w:val="clear" w:pos="1985"/>
        </w:tabs>
        <w:adjustRightInd w:val="0"/>
        <w:spacing w:line="260" w:lineRule="auto"/>
        <w:outlineLvl w:val="1"/>
        <w:rPr>
          <w:highlight w:val="none"/>
        </w:rPr>
      </w:pPr>
      <w:r>
        <w:rPr>
          <w:rFonts w:hint="eastAsia"/>
          <w:highlight w:val="none"/>
        </w:rPr>
        <w:t>2.</w:t>
      </w:r>
      <w:r>
        <w:rPr>
          <w:rFonts w:hint="eastAsia"/>
          <w:highlight w:val="none"/>
          <w:lang w:val="en-US" w:eastAsia="zh-CN"/>
        </w:rPr>
        <w:t>1</w:t>
      </w:r>
      <w:r>
        <w:rPr>
          <w:rFonts w:hint="eastAsia"/>
          <w:highlight w:val="none"/>
        </w:rPr>
        <w:t>. NTN enhancement</w:t>
      </w:r>
    </w:p>
    <w:p w14:paraId="76FA7B5C">
      <w:pPr>
        <w:pStyle w:val="59"/>
        <w:numPr>
          <w:ilvl w:val="0"/>
          <w:numId w:val="0"/>
        </w:numPr>
        <w:tabs>
          <w:tab w:val="left" w:pos="567"/>
          <w:tab w:val="clear" w:pos="1985"/>
        </w:tabs>
        <w:adjustRightInd w:val="0"/>
        <w:spacing w:line="260" w:lineRule="auto"/>
        <w:outlineLvl w:val="2"/>
        <w:rPr>
          <w:highlight w:val="none"/>
        </w:rPr>
      </w:pPr>
      <w:r>
        <w:rPr>
          <w:rFonts w:hint="eastAsia"/>
          <w:highlight w:val="none"/>
        </w:rPr>
        <w:t>2.</w:t>
      </w:r>
      <w:r>
        <w:rPr>
          <w:rFonts w:hint="eastAsia"/>
          <w:highlight w:val="none"/>
          <w:lang w:val="en-US" w:eastAsia="zh-CN"/>
        </w:rPr>
        <w:t>1</w:t>
      </w:r>
      <w:r>
        <w:rPr>
          <w:rFonts w:hint="eastAsia"/>
          <w:highlight w:val="none"/>
        </w:rPr>
        <w:t>.1 ZTE</w:t>
      </w:r>
      <w:r>
        <w:rPr>
          <w:highlight w:val="none"/>
        </w:rPr>
        <w:t>’</w:t>
      </w:r>
      <w:r>
        <w:rPr>
          <w:rFonts w:hint="eastAsia"/>
          <w:highlight w:val="none"/>
        </w:rPr>
        <w:t>s view</w:t>
      </w:r>
    </w:p>
    <w:p w14:paraId="025B7BB3">
      <w:pPr>
        <w:spacing w:after="0"/>
        <w:jc w:val="left"/>
        <w:rPr>
          <w:highlight w:val="none"/>
        </w:rPr>
      </w:pPr>
      <w:r>
        <w:rPr>
          <w:rFonts w:hint="eastAsia" w:eastAsiaTheme="minorEastAsia"/>
          <w:highlight w:val="none"/>
        </w:rPr>
        <w:t>The high level views on the companies</w:t>
      </w:r>
      <w:r>
        <w:rPr>
          <w:rFonts w:eastAsiaTheme="minorEastAsia"/>
          <w:highlight w:val="none"/>
        </w:rPr>
        <w:t>’</w:t>
      </w:r>
      <w:r>
        <w:rPr>
          <w:rFonts w:hint="eastAsia" w:eastAsiaTheme="minorEastAsia"/>
          <w:highlight w:val="none"/>
        </w:rPr>
        <w:t xml:space="preserve"> </w:t>
      </w:r>
      <w:r>
        <w:rPr>
          <w:rFonts w:eastAsiaTheme="minorEastAsia"/>
          <w:highlight w:val="none"/>
        </w:rPr>
        <w:t>proposals on</w:t>
      </w:r>
      <w:r>
        <w:rPr>
          <w:rFonts w:hint="eastAsia" w:eastAsiaTheme="minorEastAsia"/>
          <w:highlight w:val="none"/>
        </w:rPr>
        <w:t xml:space="preserve"> Rel-20 NTN enhancement so far are summarized in the following table.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FF5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21C193B">
            <w:pPr>
              <w:keepNext w:val="0"/>
              <w:keepLines w:val="0"/>
              <w:suppressLineNumbers w:val="0"/>
              <w:spacing w:before="0" w:beforeAutospacing="0" w:afterAutospacing="0"/>
              <w:ind w:left="0" w:right="0"/>
              <w:rPr>
                <w:rFonts w:hint="default"/>
                <w:b/>
                <w:bCs/>
                <w:highlight w:val="none"/>
                <w:lang w:eastAsia="zh-CN"/>
              </w:rPr>
            </w:pPr>
            <w:r>
              <w:rPr>
                <w:rFonts w:hint="default"/>
                <w:b/>
                <w:bCs/>
                <w:highlight w:val="none"/>
                <w:lang w:eastAsia="zh-CN"/>
              </w:rPr>
              <w:t xml:space="preserve">High level scope for WI on </w:t>
            </w:r>
            <w:r>
              <w:rPr>
                <w:rFonts w:hint="default"/>
                <w:b/>
                <w:bCs/>
                <w:highlight w:val="none"/>
              </w:rPr>
              <w:t>NTN enhancement (the exact scope and WID draft will be discussed and decided in RAN#109)</w:t>
            </w:r>
            <w:r>
              <w:rPr>
                <w:rFonts w:hint="default"/>
                <w:b/>
                <w:bCs/>
                <w:highlight w:val="none"/>
                <w:lang w:eastAsia="zh-CN"/>
              </w:rPr>
              <w:t>:</w:t>
            </w:r>
          </w:p>
          <w:p w14:paraId="417388DB">
            <w:pPr>
              <w:pStyle w:val="38"/>
              <w:keepNext w:val="0"/>
              <w:keepLines w:val="0"/>
              <w:numPr>
                <w:ilvl w:val="1"/>
                <w:numId w:val="4"/>
              </w:numPr>
              <w:suppressLineNumbers w:val="0"/>
              <w:spacing w:before="0" w:beforeAutospacing="0" w:afterAutospacing="0"/>
              <w:ind w:right="0"/>
              <w:contextualSpacing w:val="0"/>
              <w:rPr>
                <w:rFonts w:hint="default"/>
                <w:sz w:val="21"/>
                <w:szCs w:val="28"/>
                <w:highlight w:val="none"/>
              </w:rPr>
            </w:pPr>
            <w:r>
              <w:rPr>
                <w:rFonts w:hint="default"/>
                <w:sz w:val="21"/>
                <w:szCs w:val="28"/>
                <w:highlight w:val="none"/>
              </w:rPr>
              <w:t xml:space="preserve">NTN HPUE </w:t>
            </w:r>
          </w:p>
          <w:p w14:paraId="2419E43E">
            <w:pPr>
              <w:pStyle w:val="38"/>
              <w:keepNext w:val="0"/>
              <w:keepLines w:val="0"/>
              <w:numPr>
                <w:ilvl w:val="2"/>
                <w:numId w:val="4"/>
              </w:numPr>
              <w:suppressLineNumbers w:val="0"/>
              <w:spacing w:before="0" w:beforeAutospacing="0" w:afterAutospacing="0"/>
              <w:ind w:right="0"/>
              <w:rPr>
                <w:rFonts w:hint="default"/>
                <w:sz w:val="21"/>
                <w:szCs w:val="28"/>
                <w:highlight w:val="none"/>
              </w:rPr>
            </w:pPr>
            <w:r>
              <w:rPr>
                <w:rFonts w:hint="default"/>
                <w:sz w:val="21"/>
                <w:szCs w:val="28"/>
                <w:highlight w:val="none"/>
              </w:rPr>
              <w:t>Finish remaining PC1.5 (~29 dBm) work for hand-held devices for both NR NTN and IoT NTN (several studies and discussions already done in R19)</w:t>
            </w:r>
          </w:p>
          <w:p w14:paraId="69E3AC3A">
            <w:pPr>
              <w:pStyle w:val="38"/>
              <w:keepNext w:val="0"/>
              <w:keepLines w:val="0"/>
              <w:numPr>
                <w:ilvl w:val="3"/>
                <w:numId w:val="4"/>
              </w:numPr>
              <w:suppressLineNumbers w:val="0"/>
              <w:spacing w:before="0" w:beforeAutospacing="0" w:afterAutospacing="0"/>
              <w:ind w:right="0"/>
              <w:rPr>
                <w:rFonts w:hint="default"/>
                <w:sz w:val="21"/>
                <w:szCs w:val="28"/>
                <w:highlight w:val="none"/>
              </w:rPr>
            </w:pPr>
            <w:r>
              <w:rPr>
                <w:rFonts w:hint="default"/>
                <w:sz w:val="21"/>
                <w:szCs w:val="28"/>
                <w:highlight w:val="none"/>
              </w:rPr>
              <w:t>NR NTN with 2TX and/or FFS 1TX</w:t>
            </w:r>
          </w:p>
          <w:p w14:paraId="5B0071B8">
            <w:pPr>
              <w:pStyle w:val="38"/>
              <w:keepNext w:val="0"/>
              <w:keepLines w:val="0"/>
              <w:numPr>
                <w:ilvl w:val="1"/>
                <w:numId w:val="4"/>
              </w:numPr>
              <w:suppressLineNumbers w:val="0"/>
              <w:spacing w:before="0" w:beforeAutospacing="0" w:afterAutospacing="0"/>
              <w:ind w:right="0"/>
              <w:contextualSpacing w:val="0"/>
              <w:rPr>
                <w:rFonts w:hint="default"/>
                <w:sz w:val="21"/>
                <w:szCs w:val="28"/>
                <w:highlight w:val="none"/>
              </w:rPr>
            </w:pPr>
            <w:r>
              <w:rPr>
                <w:rFonts w:hint="default"/>
                <w:sz w:val="21"/>
                <w:szCs w:val="28"/>
                <w:highlight w:val="none"/>
              </w:rPr>
              <w:t>NTN HD-FDD VSAT for Ka/Ku bands</w:t>
            </w:r>
          </w:p>
          <w:p w14:paraId="7DAABB55">
            <w:pPr>
              <w:pStyle w:val="38"/>
              <w:keepNext w:val="0"/>
              <w:keepLines w:val="0"/>
              <w:numPr>
                <w:ilvl w:val="2"/>
                <w:numId w:val="4"/>
              </w:numPr>
              <w:suppressLineNumbers w:val="0"/>
              <w:spacing w:before="0" w:beforeAutospacing="0" w:afterAutospacing="0"/>
              <w:ind w:right="0"/>
              <w:contextualSpacing w:val="0"/>
              <w:rPr>
                <w:rFonts w:hint="default"/>
                <w:sz w:val="21"/>
                <w:szCs w:val="28"/>
                <w:highlight w:val="none"/>
              </w:rPr>
            </w:pPr>
            <w:r>
              <w:rPr>
                <w:rFonts w:hint="default"/>
                <w:sz w:val="21"/>
                <w:szCs w:val="28"/>
                <w:highlight w:val="none"/>
              </w:rPr>
              <w:t xml:space="preserve">RAN4 will start with HD-FDD mobile VSAT with small antennas (e.g 20x20cm). </w:t>
            </w:r>
          </w:p>
          <w:p w14:paraId="0590855C">
            <w:pPr>
              <w:pStyle w:val="38"/>
              <w:keepNext w:val="0"/>
              <w:keepLines w:val="0"/>
              <w:numPr>
                <w:ilvl w:val="2"/>
                <w:numId w:val="4"/>
              </w:numPr>
              <w:suppressLineNumbers w:val="0"/>
              <w:spacing w:before="0" w:beforeAutospacing="0" w:afterAutospacing="0"/>
              <w:ind w:right="0"/>
              <w:contextualSpacing w:val="0"/>
              <w:rPr>
                <w:rFonts w:hint="default"/>
                <w:sz w:val="21"/>
                <w:szCs w:val="28"/>
                <w:highlight w:val="none"/>
              </w:rPr>
            </w:pPr>
            <w:r>
              <w:rPr>
                <w:rFonts w:hint="default"/>
                <w:sz w:val="21"/>
                <w:szCs w:val="28"/>
                <w:highlight w:val="none"/>
              </w:rPr>
              <w:t xml:space="preserve">Once the mobile VSAT with small antennas work is done, </w:t>
            </w:r>
          </w:p>
          <w:p w14:paraId="4894A222">
            <w:pPr>
              <w:pStyle w:val="38"/>
              <w:keepNext w:val="0"/>
              <w:keepLines w:val="0"/>
              <w:numPr>
                <w:ilvl w:val="3"/>
                <w:numId w:val="4"/>
              </w:numPr>
              <w:suppressLineNumbers w:val="0"/>
              <w:spacing w:before="0" w:beforeAutospacing="0" w:afterAutospacing="0"/>
              <w:ind w:right="0"/>
              <w:contextualSpacing w:val="0"/>
              <w:rPr>
                <w:rFonts w:hint="default"/>
                <w:sz w:val="21"/>
                <w:szCs w:val="28"/>
                <w:highlight w:val="none"/>
              </w:rPr>
            </w:pPr>
            <w:r>
              <w:rPr>
                <w:rFonts w:hint="default"/>
                <w:sz w:val="21"/>
                <w:szCs w:val="28"/>
                <w:highlight w:val="none"/>
              </w:rPr>
              <w:t xml:space="preserve">NTN HD-FDD for fixed VSAT and the mobile VSAT with large/normal antenna will be discussed, including how the agreements for the mobile VSAT with small antenna can be leveraged as applicable </w:t>
            </w:r>
          </w:p>
          <w:p w14:paraId="0E53374E">
            <w:pPr>
              <w:pStyle w:val="38"/>
              <w:keepNext w:val="0"/>
              <w:keepLines w:val="0"/>
              <w:numPr>
                <w:ilvl w:val="3"/>
                <w:numId w:val="4"/>
              </w:numPr>
              <w:suppressLineNumbers w:val="0"/>
              <w:spacing w:before="0" w:beforeAutospacing="0" w:afterAutospacing="0"/>
              <w:ind w:right="0"/>
              <w:contextualSpacing w:val="0"/>
              <w:rPr>
                <w:rFonts w:hint="default"/>
                <w:sz w:val="21"/>
                <w:szCs w:val="28"/>
                <w:highlight w:val="none"/>
              </w:rPr>
            </w:pPr>
            <w:r>
              <w:rPr>
                <w:rFonts w:hint="default"/>
                <w:sz w:val="21"/>
                <w:szCs w:val="28"/>
                <w:highlight w:val="none"/>
              </w:rPr>
              <w:t xml:space="preserve">Leverage RedCap over NTN HD-FDD solution to NTN </w:t>
            </w:r>
            <w:r>
              <w:rPr>
                <w:rFonts w:hint="eastAsia"/>
                <w:sz w:val="21"/>
                <w:szCs w:val="28"/>
                <w:highlight w:val="none"/>
                <w:lang w:val="en-US" w:eastAsia="zh-CN"/>
              </w:rPr>
              <w:t>to minimize RAN1/2 impacts</w:t>
            </w:r>
            <w:r>
              <w:rPr>
                <w:rFonts w:hint="default"/>
                <w:sz w:val="21"/>
                <w:szCs w:val="28"/>
                <w:highlight w:val="none"/>
              </w:rPr>
              <w:t xml:space="preserve">. </w:t>
            </w:r>
          </w:p>
          <w:p w14:paraId="5EA85B5E">
            <w:pPr>
              <w:pStyle w:val="38"/>
              <w:keepNext w:val="0"/>
              <w:keepLines w:val="0"/>
              <w:numPr>
                <w:ilvl w:val="1"/>
                <w:numId w:val="4"/>
              </w:numPr>
              <w:suppressLineNumbers w:val="0"/>
              <w:spacing w:before="0" w:beforeAutospacing="0" w:afterAutospacing="0"/>
              <w:ind w:right="0"/>
              <w:contextualSpacing w:val="0"/>
              <w:rPr>
                <w:rFonts w:hint="default"/>
                <w:sz w:val="21"/>
                <w:szCs w:val="21"/>
                <w:highlight w:val="none"/>
              </w:rPr>
            </w:pPr>
            <w:r>
              <w:rPr>
                <w:rFonts w:hint="default"/>
                <w:sz w:val="21"/>
                <w:szCs w:val="21"/>
                <w:highlight w:val="none"/>
              </w:rPr>
              <w:t xml:space="preserve">NTN DL CA </w:t>
            </w:r>
          </w:p>
          <w:p w14:paraId="3CEF9982">
            <w:pPr>
              <w:pStyle w:val="38"/>
              <w:keepNext w:val="0"/>
              <w:keepLines w:val="0"/>
              <w:numPr>
                <w:ilvl w:val="2"/>
                <w:numId w:val="4"/>
              </w:numPr>
              <w:suppressLineNumbers w:val="0"/>
              <w:spacing w:before="0" w:beforeAutospacing="0" w:afterAutospacing="0"/>
              <w:ind w:right="0"/>
              <w:rPr>
                <w:rFonts w:hint="default"/>
                <w:sz w:val="21"/>
                <w:szCs w:val="21"/>
                <w:highlight w:val="none"/>
              </w:rPr>
            </w:pPr>
            <w:r>
              <w:rPr>
                <w:rFonts w:hint="default"/>
                <w:sz w:val="21"/>
                <w:szCs w:val="21"/>
                <w:highlight w:val="none"/>
              </w:rPr>
              <w:t>Intra-SAN CA limited to DL intra-band contiguous and non-contiguous</w:t>
            </w:r>
            <w:r>
              <w:rPr>
                <w:rFonts w:hint="default"/>
                <w:b/>
                <w:bCs/>
                <w:sz w:val="21"/>
                <w:szCs w:val="21"/>
                <w:highlight w:val="none"/>
              </w:rPr>
              <w:t xml:space="preserve"> </w:t>
            </w:r>
            <w:r>
              <w:rPr>
                <w:rFonts w:hint="default"/>
                <w:sz w:val="21"/>
                <w:szCs w:val="21"/>
                <w:highlight w:val="none"/>
              </w:rPr>
              <w:t xml:space="preserve">with 2CC </w:t>
            </w:r>
          </w:p>
          <w:p w14:paraId="525316AB">
            <w:pPr>
              <w:pStyle w:val="38"/>
              <w:keepNext w:val="0"/>
              <w:keepLines w:val="0"/>
              <w:numPr>
                <w:ilvl w:val="3"/>
                <w:numId w:val="4"/>
              </w:numPr>
              <w:suppressLineNumbers w:val="0"/>
              <w:spacing w:before="0" w:beforeAutospacing="0" w:afterAutospacing="0"/>
              <w:ind w:right="0"/>
              <w:rPr>
                <w:rFonts w:hint="default"/>
                <w:sz w:val="21"/>
                <w:szCs w:val="21"/>
                <w:highlight w:val="none"/>
              </w:rPr>
            </w:pPr>
            <w:r>
              <w:rPr>
                <w:rFonts w:hint="default"/>
                <w:sz w:val="21"/>
                <w:szCs w:val="21"/>
                <w:highlight w:val="none"/>
              </w:rPr>
              <w:t>Example bands will be further decided within L/S-band and Ku/Ka-band as example bands </w:t>
            </w:r>
          </w:p>
          <w:p w14:paraId="04888D2E">
            <w:pPr>
              <w:pStyle w:val="38"/>
              <w:keepNext w:val="0"/>
              <w:keepLines w:val="0"/>
              <w:numPr>
                <w:ilvl w:val="3"/>
                <w:numId w:val="4"/>
              </w:numPr>
              <w:suppressLineNumbers w:val="0"/>
              <w:spacing w:before="0" w:beforeAutospacing="0" w:afterAutospacing="0"/>
              <w:ind w:right="0"/>
              <w:rPr>
                <w:rFonts w:hint="default"/>
                <w:sz w:val="21"/>
                <w:szCs w:val="21"/>
                <w:highlight w:val="none"/>
              </w:rPr>
            </w:pPr>
            <w:r>
              <w:rPr>
                <w:rFonts w:hint="default"/>
                <w:sz w:val="21"/>
                <w:szCs w:val="21"/>
                <w:highlight w:val="none"/>
              </w:rPr>
              <w:t>Depending on the available band combinations, interested companies can propose to extend this work to intra-band with more than 2CC in the check-point in June 2026</w:t>
            </w:r>
          </w:p>
          <w:p w14:paraId="77208DBF">
            <w:pPr>
              <w:pStyle w:val="38"/>
              <w:keepNext w:val="0"/>
              <w:keepLines w:val="0"/>
              <w:numPr>
                <w:ilvl w:val="2"/>
                <w:numId w:val="4"/>
              </w:numPr>
              <w:suppressLineNumbers w:val="0"/>
              <w:spacing w:before="0" w:beforeAutospacing="0" w:afterAutospacing="0"/>
              <w:ind w:right="0"/>
              <w:contextualSpacing w:val="0"/>
              <w:rPr>
                <w:rFonts w:hint="default"/>
                <w:sz w:val="21"/>
                <w:szCs w:val="21"/>
                <w:highlight w:val="none"/>
              </w:rPr>
            </w:pPr>
            <w:r>
              <w:rPr>
                <w:rFonts w:hint="default"/>
                <w:sz w:val="21"/>
                <w:szCs w:val="21"/>
                <w:highlight w:val="none"/>
              </w:rPr>
              <w:t>RAN1/2 impact is expected and will be further discussed in RAN#109</w:t>
            </w:r>
          </w:p>
          <w:p w14:paraId="352DCC79">
            <w:pPr>
              <w:pStyle w:val="38"/>
              <w:keepNext w:val="0"/>
              <w:keepLines w:val="0"/>
              <w:numPr>
                <w:ilvl w:val="1"/>
                <w:numId w:val="4"/>
              </w:numPr>
              <w:suppressLineNumbers w:val="0"/>
              <w:spacing w:before="0" w:beforeAutospacing="0" w:afterAutospacing="0"/>
              <w:ind w:right="0"/>
              <w:contextualSpacing w:val="0"/>
              <w:rPr>
                <w:rFonts w:hint="default"/>
                <w:sz w:val="21"/>
                <w:szCs w:val="28"/>
                <w:highlight w:val="none"/>
              </w:rPr>
            </w:pPr>
            <w:r>
              <w:rPr>
                <w:rFonts w:hint="default"/>
                <w:sz w:val="21"/>
                <w:szCs w:val="28"/>
                <w:highlight w:val="none"/>
              </w:rPr>
              <w:t>Spec clean-up/fixing: Missing Channel BW Common Core and Perf Requirements</w:t>
            </w:r>
          </w:p>
          <w:p w14:paraId="61B0EE06">
            <w:pPr>
              <w:pStyle w:val="38"/>
              <w:keepNext w:val="0"/>
              <w:keepLines w:val="0"/>
              <w:numPr>
                <w:ilvl w:val="2"/>
                <w:numId w:val="4"/>
              </w:numPr>
              <w:suppressLineNumbers w:val="0"/>
              <w:spacing w:before="0" w:beforeAutospacing="0" w:afterAutospacing="0"/>
              <w:ind w:right="0"/>
              <w:rPr>
                <w:rFonts w:hint="default"/>
                <w:sz w:val="21"/>
                <w:szCs w:val="28"/>
                <w:highlight w:val="none"/>
              </w:rPr>
            </w:pPr>
            <w:r>
              <w:rPr>
                <w:rFonts w:hint="default"/>
                <w:sz w:val="21"/>
                <w:szCs w:val="28"/>
                <w:highlight w:val="none"/>
                <w:u w:val="single"/>
              </w:rPr>
              <w:t>30MHz (DL/UL), 40MHz (priority DL)</w:t>
            </w:r>
            <w:r>
              <w:rPr>
                <w:rFonts w:hint="default"/>
                <w:sz w:val="21"/>
                <w:szCs w:val="28"/>
                <w:highlight w:val="none"/>
              </w:rPr>
              <w:t>, 25MHz with PC3</w:t>
            </w:r>
          </w:p>
          <w:p w14:paraId="58B1206E">
            <w:pPr>
              <w:pStyle w:val="38"/>
              <w:keepNext w:val="0"/>
              <w:keepLines w:val="0"/>
              <w:numPr>
                <w:ilvl w:val="3"/>
                <w:numId w:val="4"/>
              </w:numPr>
              <w:suppressLineNumbers w:val="0"/>
              <w:spacing w:before="0" w:beforeAutospacing="0" w:afterAutospacing="0"/>
              <w:ind w:right="0"/>
              <w:contextualSpacing w:val="0"/>
              <w:rPr>
                <w:rFonts w:hint="default"/>
                <w:sz w:val="21"/>
                <w:szCs w:val="28"/>
                <w:highlight w:val="none"/>
              </w:rPr>
            </w:pPr>
            <w:r>
              <w:rPr>
                <w:rFonts w:hint="default"/>
                <w:sz w:val="21"/>
                <w:szCs w:val="28"/>
                <w:highlight w:val="none"/>
              </w:rPr>
              <w:t>Take one example band with minimum work with PC3</w:t>
            </w:r>
          </w:p>
          <w:p w14:paraId="539299F8">
            <w:pPr>
              <w:pStyle w:val="38"/>
              <w:keepNext w:val="0"/>
              <w:keepLines w:val="0"/>
              <w:numPr>
                <w:ilvl w:val="3"/>
                <w:numId w:val="4"/>
              </w:numPr>
              <w:suppressLineNumbers w:val="0"/>
              <w:spacing w:before="0" w:beforeAutospacing="0" w:afterAutospacing="0"/>
              <w:ind w:right="0"/>
              <w:contextualSpacing w:val="0"/>
              <w:rPr>
                <w:rFonts w:hint="default"/>
                <w:sz w:val="21"/>
                <w:szCs w:val="28"/>
                <w:highlight w:val="none"/>
              </w:rPr>
            </w:pPr>
            <w:r>
              <w:rPr>
                <w:rFonts w:hint="default"/>
                <w:sz w:val="21"/>
                <w:szCs w:val="28"/>
                <w:highlight w:val="none"/>
              </w:rPr>
              <w:t>The rest cases can be considered as part of spectrum work once the requirements on the example band is completed</w:t>
            </w:r>
          </w:p>
          <w:p w14:paraId="7F9FD6D8">
            <w:pPr>
              <w:pStyle w:val="38"/>
              <w:keepNext w:val="0"/>
              <w:keepLines w:val="0"/>
              <w:numPr>
                <w:ilvl w:val="0"/>
                <w:numId w:val="4"/>
              </w:numPr>
              <w:suppressLineNumbers w:val="0"/>
              <w:spacing w:before="0" w:beforeAutospacing="0" w:afterAutospacing="0"/>
              <w:ind w:right="0"/>
              <w:contextualSpacing w:val="0"/>
              <w:rPr>
                <w:rFonts w:hint="eastAsia"/>
                <w:highlight w:val="none"/>
                <w:vertAlign w:val="baseline"/>
                <w:lang w:val="en-US" w:eastAsia="zh-CN"/>
              </w:rPr>
            </w:pPr>
            <w:r>
              <w:rPr>
                <w:rFonts w:hint="default"/>
                <w:highlight w:val="none"/>
              </w:rPr>
              <w:t>Target 1TU in Q4’25 and 1.5 TU allocation including RF, RRM and demod from Q1’26</w:t>
            </w:r>
          </w:p>
        </w:tc>
      </w:tr>
    </w:tbl>
    <w:p w14:paraId="00B20AC4">
      <w:pPr>
        <w:rPr>
          <w:highlight w:val="none"/>
        </w:rPr>
      </w:pPr>
    </w:p>
    <w:p w14:paraId="3D156D8E">
      <w:pPr>
        <w:rPr>
          <w:rFonts w:hint="default"/>
          <w:highlight w:val="none"/>
          <w:lang w:val="en-US" w:eastAsia="zh-CN"/>
        </w:rPr>
      </w:pPr>
      <w:r>
        <w:rPr>
          <w:rFonts w:hint="eastAsia"/>
          <w:highlight w:val="none"/>
          <w:lang w:val="en-US" w:eastAsia="zh-CN"/>
        </w:rPr>
        <w:t>In the last RAN#108 meeting, there were still open issues for NTN HPUE part, here we provide some further detailed objectives as following:</w:t>
      </w:r>
    </w:p>
    <w:p w14:paraId="73462C72">
      <w:pPr>
        <w:rPr>
          <w:rFonts w:hint="default"/>
          <w:b/>
          <w:bCs/>
          <w:highlight w:val="none"/>
          <w:lang w:val="en-US" w:eastAsia="zh-CN"/>
        </w:rPr>
      </w:pPr>
      <w:r>
        <w:rPr>
          <w:rFonts w:hint="eastAsia"/>
          <w:b/>
          <w:bCs/>
          <w:highlight w:val="none"/>
          <w:lang w:val="en-US" w:eastAsia="zh-CN"/>
        </w:rPr>
        <w:t xml:space="preserve">Proposal 1: </w:t>
      </w:r>
      <w:r>
        <w:rPr>
          <w:rFonts w:hint="eastAsia"/>
          <w:b w:val="0"/>
          <w:bCs w:val="0"/>
          <w:highlight w:val="none"/>
          <w:lang w:val="en-US" w:eastAsia="zh-CN"/>
        </w:rPr>
        <w:t>for NTN HPUE objective, we propose to consider the following objective:</w:t>
      </w:r>
    </w:p>
    <w:p w14:paraId="26AF2DC3">
      <w:pPr>
        <w:pStyle w:val="38"/>
        <w:numPr>
          <w:ilvl w:val="0"/>
          <w:numId w:val="4"/>
        </w:numPr>
        <w:ind w:leftChars="0"/>
        <w:rPr>
          <w:highlight w:val="none"/>
        </w:rPr>
      </w:pPr>
      <w:r>
        <w:rPr>
          <w:highlight w:val="none"/>
        </w:rPr>
        <w:t>NTN HPUE</w:t>
      </w:r>
      <w:r>
        <w:rPr>
          <w:rFonts w:hint="eastAsia"/>
          <w:highlight w:val="none"/>
          <w:lang w:val="en-US" w:eastAsia="zh-CN"/>
        </w:rPr>
        <w:t xml:space="preserve"> for handheld device in FR1 FDD band</w:t>
      </w:r>
      <w:r>
        <w:rPr>
          <w:highlight w:val="none"/>
        </w:rPr>
        <w:t xml:space="preserve"> </w:t>
      </w:r>
    </w:p>
    <w:p w14:paraId="60B791B8">
      <w:pPr>
        <w:pStyle w:val="38"/>
        <w:numPr>
          <w:ilvl w:val="2"/>
          <w:numId w:val="4"/>
        </w:numPr>
        <w:ind w:leftChars="0"/>
        <w:rPr>
          <w:highlight w:val="none"/>
        </w:rPr>
      </w:pPr>
      <w:r>
        <w:rPr>
          <w:highlight w:val="none"/>
        </w:rPr>
        <w:t>NR NTN with 2TX (for FDD 2TX with 26dBm per PA)</w:t>
      </w:r>
    </w:p>
    <w:p w14:paraId="033D9C4B">
      <w:pPr>
        <w:pStyle w:val="38"/>
        <w:numPr>
          <w:ilvl w:val="2"/>
          <w:numId w:val="4"/>
        </w:numPr>
        <w:ind w:leftChars="0"/>
        <w:rPr>
          <w:highlight w:val="none"/>
        </w:rPr>
      </w:pPr>
      <w:r>
        <w:rPr>
          <w:highlight w:val="none"/>
        </w:rPr>
        <w:t>IoT NTN with 1TX</w:t>
      </w:r>
      <w:r>
        <w:rPr>
          <w:rFonts w:hint="eastAsia"/>
          <w:highlight w:val="none"/>
          <w:lang w:val="en-US" w:eastAsia="zh-CN"/>
        </w:rPr>
        <w:t xml:space="preserve"> with 29dBm per PA</w:t>
      </w:r>
    </w:p>
    <w:p w14:paraId="76496A99">
      <w:pPr>
        <w:pStyle w:val="38"/>
        <w:numPr>
          <w:ilvl w:val="2"/>
          <w:numId w:val="4"/>
        </w:numPr>
        <w:ind w:leftChars="0"/>
        <w:rPr>
          <w:rFonts w:hint="eastAsia" w:ascii="Times New Roman" w:hAnsi="Times New Roman" w:eastAsia="宋体" w:cs="Times New Roman"/>
          <w:highlight w:val="none"/>
          <w:lang w:val="en-US" w:eastAsia="zh-CN"/>
        </w:rPr>
      </w:pPr>
      <w:r>
        <w:rPr>
          <w:rFonts w:hint="eastAsia"/>
          <w:highlight w:val="none"/>
          <w:lang w:val="en-US" w:eastAsia="zh-CN"/>
        </w:rPr>
        <w:t xml:space="preserve">The feasibility study </w:t>
      </w:r>
      <w:r>
        <w:rPr>
          <w:highlight w:val="none"/>
        </w:rPr>
        <w:t>NR NTN with</w:t>
      </w:r>
      <w:r>
        <w:rPr>
          <w:rFonts w:hint="eastAsia" w:ascii="Times New Roman" w:hAnsi="Times New Roman" w:eastAsia="宋体" w:cs="Times New Roman"/>
          <w:highlight w:val="none"/>
          <w:lang w:val="en-US" w:eastAsia="zh-CN"/>
        </w:rPr>
        <w:t xml:space="preserve"> 1TX 29dBm PA and its duplexer</w:t>
      </w:r>
    </w:p>
    <w:p w14:paraId="4EFA1BFB">
      <w:pPr>
        <w:rPr>
          <w:rFonts w:hint="eastAsia"/>
          <w:highlight w:val="none"/>
          <w:lang w:val="en-US" w:eastAsia="zh-CN"/>
        </w:rPr>
      </w:pPr>
      <w:r>
        <w:rPr>
          <w:rFonts w:hint="eastAsia"/>
          <w:highlight w:val="none"/>
          <w:lang w:val="en-US" w:eastAsia="zh-CN"/>
        </w:rPr>
        <w:t>In the last RAN#108 meeting, some notes for HD-FDD and DL CA indicate that RAN1/RAN2 impacts is expected.  From our understanding, since NTN Redcap has already been supported for FR1 FDD bands, the mechanism for handling DL-UL collision for NTN Redcap UE could be reused for HD-FDD VSAT design, therefore we don</w:t>
      </w:r>
      <w:r>
        <w:rPr>
          <w:rFonts w:hint="default"/>
          <w:highlight w:val="none"/>
          <w:lang w:val="en-US" w:eastAsia="zh-CN"/>
        </w:rPr>
        <w:t>’</w:t>
      </w:r>
      <w:r>
        <w:rPr>
          <w:rFonts w:hint="eastAsia"/>
          <w:highlight w:val="none"/>
          <w:lang w:val="en-US" w:eastAsia="zh-CN"/>
        </w:rPr>
        <w:t xml:space="preserve">t expect the additional RAN1/RAN2 spec impact. </w:t>
      </w:r>
    </w:p>
    <w:p w14:paraId="122FCF89">
      <w:pPr>
        <w:rPr>
          <w:rFonts w:hint="default"/>
          <w:highlight w:val="none"/>
          <w:lang w:val="en-US" w:eastAsia="zh-CN"/>
        </w:rPr>
      </w:pPr>
      <w:r>
        <w:rPr>
          <w:rFonts w:hint="eastAsia"/>
          <w:highlight w:val="none"/>
          <w:lang w:val="en-US" w:eastAsia="zh-CN"/>
        </w:rPr>
        <w:t xml:space="preserve">For NTN DL CA, in the current specification, from our understanding, there are the specific optimization for NTN CA, in other words, the TN CA framework could be reused for NTN CA without spec impacts or dedicated optimization for it. </w:t>
      </w:r>
    </w:p>
    <w:p w14:paraId="0381D59E">
      <w:pPr>
        <w:rPr>
          <w:rFonts w:hint="eastAsia"/>
          <w:highlight w:val="none"/>
          <w:lang w:val="en-US" w:eastAsia="zh-CN"/>
        </w:rPr>
      </w:pPr>
      <w:r>
        <w:rPr>
          <w:rFonts w:hint="eastAsia"/>
          <w:b/>
          <w:bCs/>
          <w:highlight w:val="none"/>
          <w:lang w:val="en-US" w:eastAsia="zh-CN"/>
        </w:rPr>
        <w:t>Observation 1</w:t>
      </w:r>
      <w:r>
        <w:rPr>
          <w:rFonts w:hint="eastAsia"/>
          <w:highlight w:val="none"/>
          <w:lang w:val="en-US" w:eastAsia="zh-CN"/>
        </w:rPr>
        <w:t xml:space="preserve">: for HD-FDD VSAT, it is not expected to have spec impacts in addition to NTN Redcap UE defined in Rel-19.  </w:t>
      </w:r>
    </w:p>
    <w:p w14:paraId="6EF3029F">
      <w:pPr>
        <w:pStyle w:val="59"/>
        <w:numPr>
          <w:ilvl w:val="0"/>
          <w:numId w:val="0"/>
        </w:numPr>
        <w:tabs>
          <w:tab w:val="left" w:pos="567"/>
          <w:tab w:val="clear" w:pos="1985"/>
        </w:tabs>
        <w:adjustRightInd w:val="0"/>
        <w:spacing w:line="260" w:lineRule="auto"/>
        <w:outlineLvl w:val="2"/>
        <w:rPr>
          <w:rFonts w:hint="eastAsia"/>
          <w:bCs/>
          <w:iCs/>
          <w:szCs w:val="20"/>
          <w:highlight w:val="none"/>
        </w:rPr>
      </w:pPr>
      <w:r>
        <w:rPr>
          <w:rFonts w:hint="eastAsia"/>
          <w:highlight w:val="none"/>
        </w:rPr>
        <w:t>2.</w:t>
      </w:r>
      <w:r>
        <w:rPr>
          <w:rFonts w:hint="eastAsia"/>
          <w:highlight w:val="none"/>
          <w:lang w:val="en-US" w:eastAsia="zh-CN"/>
        </w:rPr>
        <w:t>1</w:t>
      </w:r>
      <w:r>
        <w:rPr>
          <w:rFonts w:hint="eastAsia"/>
          <w:highlight w:val="none"/>
        </w:rPr>
        <w:t>.3 WID objective</w:t>
      </w:r>
      <w:r>
        <w:rPr>
          <w:rFonts w:hint="eastAsia" w:eastAsia="Times New Roman"/>
          <w:highlight w:val="none"/>
        </w:rPr>
        <w:t xml:space="preserve"> </w:t>
      </w:r>
    </w:p>
    <w:p w14:paraId="42CC9C4D">
      <w:pPr>
        <w:pStyle w:val="38"/>
        <w:numPr>
          <w:ilvl w:val="0"/>
          <w:numId w:val="0"/>
        </w:numPr>
        <w:spacing w:after="0" w:line="260" w:lineRule="auto"/>
        <w:ind w:left="544" w:leftChars="0"/>
        <w:rPr>
          <w:rFonts w:hint="default" w:eastAsia="宋体"/>
          <w:bCs/>
          <w:iCs/>
          <w:szCs w:val="20"/>
          <w:highlight w:val="none"/>
          <w:lang w:val="en-US" w:eastAsia="zh-CN"/>
        </w:rPr>
      </w:pPr>
      <w:r>
        <w:rPr>
          <w:rFonts w:hint="eastAsia"/>
          <w:bCs/>
          <w:iCs/>
          <w:szCs w:val="20"/>
          <w:highlight w:val="none"/>
          <w:lang w:val="en-US" w:eastAsia="zh-CN"/>
        </w:rPr>
        <w:t>Core part:</w:t>
      </w:r>
    </w:p>
    <w:p w14:paraId="56112FE3">
      <w:pPr>
        <w:pStyle w:val="38"/>
        <w:numPr>
          <w:ilvl w:val="0"/>
          <w:numId w:val="4"/>
        </w:numPr>
        <w:ind w:leftChars="0"/>
        <w:rPr>
          <w:highlight w:val="none"/>
        </w:rPr>
      </w:pPr>
      <w:r>
        <w:rPr>
          <w:highlight w:val="none"/>
        </w:rPr>
        <w:t>NTN HPUE</w:t>
      </w:r>
      <w:r>
        <w:rPr>
          <w:rFonts w:hint="eastAsia"/>
          <w:highlight w:val="none"/>
          <w:lang w:val="en-US" w:eastAsia="zh-CN"/>
        </w:rPr>
        <w:t xml:space="preserve"> for handheld device in FR1 FDD band</w:t>
      </w:r>
      <w:r>
        <w:rPr>
          <w:highlight w:val="none"/>
        </w:rPr>
        <w:t xml:space="preserve"> </w:t>
      </w:r>
    </w:p>
    <w:p w14:paraId="4D9846D9">
      <w:pPr>
        <w:pStyle w:val="38"/>
        <w:numPr>
          <w:ilvl w:val="2"/>
          <w:numId w:val="4"/>
        </w:numPr>
        <w:ind w:leftChars="0"/>
        <w:rPr>
          <w:highlight w:val="none"/>
        </w:rPr>
      </w:pPr>
      <w:r>
        <w:rPr>
          <w:highlight w:val="none"/>
        </w:rPr>
        <w:t>NR NTN with 2TX (for FDD 2TX with 26dBm per PA)</w:t>
      </w:r>
    </w:p>
    <w:p w14:paraId="387C66AD">
      <w:pPr>
        <w:pStyle w:val="38"/>
        <w:numPr>
          <w:ilvl w:val="2"/>
          <w:numId w:val="4"/>
        </w:numPr>
        <w:ind w:leftChars="0"/>
        <w:rPr>
          <w:highlight w:val="none"/>
        </w:rPr>
      </w:pPr>
      <w:r>
        <w:rPr>
          <w:highlight w:val="none"/>
        </w:rPr>
        <w:t>IoT NTN with 1TX</w:t>
      </w:r>
      <w:r>
        <w:rPr>
          <w:rFonts w:hint="eastAsia"/>
          <w:highlight w:val="none"/>
          <w:lang w:val="en-US" w:eastAsia="zh-CN"/>
        </w:rPr>
        <w:t xml:space="preserve"> with 29dBm per PA</w:t>
      </w:r>
    </w:p>
    <w:p w14:paraId="11B6B3CC">
      <w:pPr>
        <w:pStyle w:val="38"/>
        <w:numPr>
          <w:ilvl w:val="2"/>
          <w:numId w:val="4"/>
        </w:numPr>
        <w:ind w:leftChars="0"/>
        <w:rPr>
          <w:rFonts w:hint="eastAsia" w:ascii="Times New Roman" w:hAnsi="Times New Roman" w:eastAsia="宋体" w:cs="Times New Roman"/>
          <w:highlight w:val="none"/>
          <w:lang w:val="en-US" w:eastAsia="zh-CN"/>
        </w:rPr>
      </w:pPr>
      <w:r>
        <w:rPr>
          <w:rFonts w:hint="eastAsia"/>
          <w:highlight w:val="none"/>
          <w:lang w:val="en-US" w:eastAsia="zh-CN"/>
        </w:rPr>
        <w:t xml:space="preserve">The feasibility study </w:t>
      </w:r>
      <w:r>
        <w:rPr>
          <w:highlight w:val="none"/>
        </w:rPr>
        <w:t>NR NTN with</w:t>
      </w:r>
      <w:r>
        <w:rPr>
          <w:rFonts w:hint="eastAsia" w:ascii="Times New Roman" w:hAnsi="Times New Roman" w:eastAsia="宋体" w:cs="Times New Roman"/>
          <w:highlight w:val="none"/>
          <w:lang w:val="en-US" w:eastAsia="zh-CN"/>
        </w:rPr>
        <w:t xml:space="preserve"> 1TX 29dBm PA and its duplexer</w:t>
      </w:r>
    </w:p>
    <w:p w14:paraId="74CB3C23">
      <w:pPr>
        <w:pStyle w:val="38"/>
        <w:numPr>
          <w:ilvl w:val="0"/>
          <w:numId w:val="4"/>
        </w:numPr>
        <w:ind w:leftChars="0"/>
        <w:rPr>
          <w:color w:val="auto"/>
          <w:highlight w:val="none"/>
        </w:rPr>
      </w:pPr>
      <w:r>
        <w:rPr>
          <w:color w:val="auto"/>
          <w:highlight w:val="none"/>
        </w:rPr>
        <w:t>NTN HD-FDD VSAT for Ka/Ku bands</w:t>
      </w:r>
    </w:p>
    <w:p w14:paraId="33CEFCD5">
      <w:pPr>
        <w:pStyle w:val="38"/>
        <w:numPr>
          <w:ilvl w:val="1"/>
          <w:numId w:val="4"/>
        </w:numPr>
        <w:ind w:leftChars="0"/>
        <w:rPr>
          <w:color w:val="auto"/>
          <w:highlight w:val="none"/>
        </w:rPr>
      </w:pPr>
      <w:r>
        <w:rPr>
          <w:color w:val="auto"/>
          <w:highlight w:val="none"/>
        </w:rPr>
        <w:t xml:space="preserve">RAN4 will start with HD-FDD mobile VSAT with small antennas (e.g 20x20cm). </w:t>
      </w:r>
    </w:p>
    <w:p w14:paraId="26C6436F">
      <w:pPr>
        <w:pStyle w:val="38"/>
        <w:numPr>
          <w:ilvl w:val="1"/>
          <w:numId w:val="4"/>
        </w:numPr>
        <w:ind w:leftChars="0"/>
        <w:rPr>
          <w:color w:val="auto"/>
          <w:highlight w:val="none"/>
        </w:rPr>
      </w:pPr>
      <w:r>
        <w:rPr>
          <w:color w:val="auto"/>
          <w:highlight w:val="none"/>
        </w:rPr>
        <w:t xml:space="preserve">Once the mobile VSAT with small antennas work is done, </w:t>
      </w:r>
    </w:p>
    <w:p w14:paraId="023AD62E">
      <w:pPr>
        <w:pStyle w:val="38"/>
        <w:numPr>
          <w:ilvl w:val="2"/>
          <w:numId w:val="4"/>
        </w:numPr>
        <w:contextualSpacing w:val="0"/>
        <w:rPr>
          <w:sz w:val="21"/>
          <w:szCs w:val="28"/>
          <w:highlight w:val="none"/>
        </w:rPr>
      </w:pPr>
      <w:r>
        <w:rPr>
          <w:sz w:val="21"/>
          <w:szCs w:val="28"/>
          <w:highlight w:val="none"/>
        </w:rPr>
        <w:t xml:space="preserve">Once the mobile VSAT with small antennas work is done, </w:t>
      </w:r>
    </w:p>
    <w:p w14:paraId="66164EE7">
      <w:pPr>
        <w:pStyle w:val="38"/>
        <w:numPr>
          <w:ilvl w:val="3"/>
          <w:numId w:val="4"/>
        </w:numPr>
        <w:contextualSpacing w:val="0"/>
        <w:rPr>
          <w:sz w:val="21"/>
          <w:szCs w:val="28"/>
          <w:highlight w:val="none"/>
        </w:rPr>
      </w:pPr>
      <w:r>
        <w:rPr>
          <w:sz w:val="21"/>
          <w:szCs w:val="28"/>
          <w:highlight w:val="none"/>
        </w:rPr>
        <w:t xml:space="preserve">NTN HD-FDD for fixed VSAT and the mobile VSAT with large/normal antenna will be discussed, including how the agreements for the mobile VSAT with small antenna can be leveraged as applicable </w:t>
      </w:r>
    </w:p>
    <w:p w14:paraId="6206458C">
      <w:pPr>
        <w:pStyle w:val="38"/>
        <w:numPr>
          <w:ilvl w:val="3"/>
          <w:numId w:val="4"/>
        </w:numPr>
        <w:contextualSpacing w:val="0"/>
        <w:rPr>
          <w:rFonts w:hint="eastAsia"/>
          <w:highlight w:val="none"/>
          <w:lang w:val="en-US" w:eastAsia="zh-CN"/>
        </w:rPr>
      </w:pPr>
      <w:r>
        <w:rPr>
          <w:rFonts w:hint="eastAsia"/>
          <w:sz w:val="21"/>
          <w:szCs w:val="28"/>
          <w:highlight w:val="none"/>
          <w:lang w:val="en-US" w:eastAsia="zh-CN"/>
        </w:rPr>
        <w:t>reuse</w:t>
      </w:r>
      <w:r>
        <w:rPr>
          <w:sz w:val="21"/>
          <w:szCs w:val="28"/>
          <w:highlight w:val="none"/>
        </w:rPr>
        <w:t xml:space="preserve"> RedCap over NTN HD-FDD solution </w:t>
      </w:r>
      <w:r>
        <w:rPr>
          <w:rFonts w:hint="eastAsia"/>
          <w:sz w:val="21"/>
          <w:szCs w:val="28"/>
          <w:highlight w:val="none"/>
          <w:lang w:val="en-US" w:eastAsia="zh-CN"/>
        </w:rPr>
        <w:t>to avoid RAN1/RAN2 impacts</w:t>
      </w:r>
    </w:p>
    <w:p w14:paraId="5EE13538">
      <w:pPr>
        <w:pStyle w:val="38"/>
        <w:numPr>
          <w:ilvl w:val="3"/>
          <w:numId w:val="4"/>
        </w:numPr>
        <w:contextualSpacing w:val="0"/>
        <w:rPr>
          <w:rFonts w:hint="eastAsia"/>
          <w:highlight w:val="none"/>
          <w:lang w:val="en-US" w:eastAsia="zh-CN"/>
        </w:rPr>
      </w:pPr>
      <w:r>
        <w:rPr>
          <w:rFonts w:hint="eastAsia"/>
          <w:sz w:val="21"/>
          <w:szCs w:val="28"/>
          <w:highlight w:val="none"/>
          <w:lang w:val="en-US" w:eastAsia="zh-CN"/>
        </w:rPr>
        <w:t>RF requirement for small VSAT and HD-FDD operation;</w:t>
      </w:r>
    </w:p>
    <w:p w14:paraId="2D10268E">
      <w:pPr>
        <w:pStyle w:val="38"/>
        <w:numPr>
          <w:ilvl w:val="3"/>
          <w:numId w:val="4"/>
        </w:numPr>
        <w:contextualSpacing w:val="0"/>
        <w:rPr>
          <w:rFonts w:hint="eastAsia"/>
          <w:highlight w:val="none"/>
          <w:lang w:val="en-US" w:eastAsia="zh-CN"/>
        </w:rPr>
      </w:pPr>
      <w:r>
        <w:rPr>
          <w:rFonts w:hint="eastAsia"/>
          <w:sz w:val="21"/>
          <w:szCs w:val="28"/>
          <w:highlight w:val="none"/>
          <w:lang w:val="en-US" w:eastAsia="zh-CN"/>
        </w:rPr>
        <w:t>The necessary RRM requirement for HD-FDD VSAT</w:t>
      </w:r>
    </w:p>
    <w:p w14:paraId="524F5985">
      <w:pPr>
        <w:pStyle w:val="38"/>
        <w:numPr>
          <w:ilvl w:val="0"/>
          <w:numId w:val="4"/>
        </w:numPr>
        <w:ind w:leftChars="0"/>
        <w:rPr>
          <w:color w:val="auto"/>
          <w:highlight w:val="none"/>
        </w:rPr>
      </w:pPr>
      <w:r>
        <w:rPr>
          <w:color w:val="auto"/>
          <w:highlight w:val="none"/>
        </w:rPr>
        <w:t xml:space="preserve">NTN DL CA </w:t>
      </w:r>
    </w:p>
    <w:p w14:paraId="45261892">
      <w:pPr>
        <w:pStyle w:val="38"/>
        <w:keepNext w:val="0"/>
        <w:keepLines w:val="0"/>
        <w:numPr>
          <w:ilvl w:val="2"/>
          <w:numId w:val="4"/>
        </w:numPr>
        <w:suppressLineNumbers w:val="0"/>
        <w:spacing w:before="0" w:beforeAutospacing="0" w:afterAutospacing="0"/>
        <w:ind w:right="0"/>
        <w:rPr>
          <w:rFonts w:hint="default"/>
          <w:sz w:val="21"/>
          <w:szCs w:val="21"/>
          <w:highlight w:val="none"/>
        </w:rPr>
      </w:pPr>
      <w:r>
        <w:rPr>
          <w:rFonts w:hint="default"/>
          <w:sz w:val="21"/>
          <w:szCs w:val="21"/>
          <w:highlight w:val="none"/>
        </w:rPr>
        <w:t>Intra-SAN CA limited to DL intra-band contiguous and non-contiguous</w:t>
      </w:r>
      <w:r>
        <w:rPr>
          <w:rFonts w:hint="default"/>
          <w:b/>
          <w:bCs/>
          <w:sz w:val="21"/>
          <w:szCs w:val="21"/>
          <w:highlight w:val="none"/>
        </w:rPr>
        <w:t xml:space="preserve"> </w:t>
      </w:r>
      <w:r>
        <w:rPr>
          <w:rFonts w:hint="default"/>
          <w:sz w:val="21"/>
          <w:szCs w:val="21"/>
          <w:highlight w:val="none"/>
        </w:rPr>
        <w:t xml:space="preserve">with 2CC </w:t>
      </w:r>
    </w:p>
    <w:p w14:paraId="1717E97F">
      <w:pPr>
        <w:pStyle w:val="38"/>
        <w:keepNext w:val="0"/>
        <w:keepLines w:val="0"/>
        <w:numPr>
          <w:ilvl w:val="3"/>
          <w:numId w:val="4"/>
        </w:numPr>
        <w:suppressLineNumbers w:val="0"/>
        <w:spacing w:before="0" w:beforeAutospacing="0" w:afterAutospacing="0"/>
        <w:ind w:right="0"/>
        <w:rPr>
          <w:rFonts w:hint="default"/>
          <w:sz w:val="21"/>
          <w:szCs w:val="21"/>
          <w:highlight w:val="none"/>
        </w:rPr>
      </w:pPr>
      <w:r>
        <w:rPr>
          <w:rFonts w:hint="default"/>
          <w:sz w:val="21"/>
          <w:szCs w:val="21"/>
          <w:highlight w:val="none"/>
        </w:rPr>
        <w:t>Example bands will be further decided within L/S-band and Ku/Ka-band as example bands </w:t>
      </w:r>
    </w:p>
    <w:p w14:paraId="37E50128">
      <w:pPr>
        <w:pStyle w:val="38"/>
        <w:keepNext w:val="0"/>
        <w:keepLines w:val="0"/>
        <w:numPr>
          <w:ilvl w:val="3"/>
          <w:numId w:val="4"/>
        </w:numPr>
        <w:suppressLineNumbers w:val="0"/>
        <w:spacing w:before="0" w:beforeAutospacing="0" w:afterAutospacing="0"/>
        <w:ind w:right="0"/>
        <w:rPr>
          <w:rFonts w:hint="default"/>
          <w:sz w:val="21"/>
          <w:szCs w:val="21"/>
          <w:highlight w:val="none"/>
        </w:rPr>
      </w:pPr>
      <w:r>
        <w:rPr>
          <w:rFonts w:hint="default"/>
          <w:sz w:val="21"/>
          <w:szCs w:val="21"/>
          <w:highlight w:val="none"/>
        </w:rPr>
        <w:t>Depending on the available band combinations, interested companies can propose to extend this work to intra-band with more than 2CC in the check-point in June 2026</w:t>
      </w:r>
    </w:p>
    <w:p w14:paraId="5C9A017D">
      <w:pPr>
        <w:pStyle w:val="38"/>
        <w:keepNext w:val="0"/>
        <w:keepLines w:val="0"/>
        <w:numPr>
          <w:ilvl w:val="2"/>
          <w:numId w:val="4"/>
        </w:numPr>
        <w:suppressLineNumbers w:val="0"/>
        <w:spacing w:before="0" w:beforeAutospacing="0" w:afterAutospacing="0"/>
        <w:ind w:right="0"/>
        <w:contextualSpacing w:val="0"/>
        <w:rPr>
          <w:rFonts w:hint="default"/>
          <w:sz w:val="21"/>
          <w:szCs w:val="21"/>
          <w:highlight w:val="none"/>
        </w:rPr>
      </w:pPr>
      <w:r>
        <w:rPr>
          <w:rFonts w:hint="default"/>
          <w:sz w:val="21"/>
          <w:szCs w:val="21"/>
          <w:highlight w:val="none"/>
        </w:rPr>
        <w:t xml:space="preserve">RAN1/2 impact is </w:t>
      </w:r>
      <w:r>
        <w:rPr>
          <w:rFonts w:hint="eastAsia"/>
          <w:sz w:val="21"/>
          <w:szCs w:val="21"/>
          <w:highlight w:val="none"/>
          <w:lang w:val="en-US" w:eastAsia="zh-CN"/>
        </w:rPr>
        <w:t xml:space="preserve">not </w:t>
      </w:r>
      <w:r>
        <w:rPr>
          <w:rFonts w:hint="default"/>
          <w:sz w:val="21"/>
          <w:szCs w:val="21"/>
          <w:highlight w:val="none"/>
        </w:rPr>
        <w:t xml:space="preserve">expected </w:t>
      </w:r>
      <w:r>
        <w:rPr>
          <w:rFonts w:hint="eastAsia"/>
          <w:sz w:val="21"/>
          <w:szCs w:val="21"/>
          <w:highlight w:val="none"/>
          <w:lang w:val="en-US" w:eastAsia="zh-CN"/>
        </w:rPr>
        <w:t xml:space="preserve">for NTN CA in Rel-20. </w:t>
      </w:r>
    </w:p>
    <w:p w14:paraId="769A458B">
      <w:pPr>
        <w:pStyle w:val="38"/>
        <w:numPr>
          <w:ilvl w:val="0"/>
          <w:numId w:val="4"/>
        </w:numPr>
        <w:ind w:leftChars="0"/>
        <w:rPr>
          <w:highlight w:val="none"/>
        </w:rPr>
      </w:pPr>
      <w:r>
        <w:rPr>
          <w:highlight w:val="none"/>
        </w:rPr>
        <w:t>Spec clean-up/fixing: Missing Channel BW Common Core and Perf Requirements</w:t>
      </w:r>
    </w:p>
    <w:p w14:paraId="176AC9AE">
      <w:pPr>
        <w:pStyle w:val="38"/>
        <w:numPr>
          <w:ilvl w:val="1"/>
          <w:numId w:val="4"/>
        </w:numPr>
        <w:ind w:leftChars="0"/>
        <w:rPr>
          <w:highlight w:val="none"/>
        </w:rPr>
      </w:pPr>
      <w:r>
        <w:rPr>
          <w:highlight w:val="none"/>
        </w:rPr>
        <w:t>30MHz (DL/UL), 40MHz (priority DL), 25MHz with PC3</w:t>
      </w:r>
    </w:p>
    <w:p w14:paraId="1CA97230">
      <w:pPr>
        <w:pStyle w:val="38"/>
        <w:numPr>
          <w:ilvl w:val="2"/>
          <w:numId w:val="4"/>
        </w:numPr>
        <w:ind w:leftChars="0"/>
        <w:rPr>
          <w:rFonts w:hint="eastAsia"/>
          <w:bCs/>
          <w:iCs/>
          <w:szCs w:val="20"/>
          <w:highlight w:val="none"/>
        </w:rPr>
      </w:pPr>
      <w:r>
        <w:rPr>
          <w:highlight w:val="none"/>
        </w:rPr>
        <w:t>Take one example band with minimum work with PC3</w:t>
      </w:r>
    </w:p>
    <w:p w14:paraId="45A0803B">
      <w:pPr>
        <w:pStyle w:val="38"/>
        <w:numPr>
          <w:ilvl w:val="0"/>
          <w:numId w:val="0"/>
        </w:numPr>
        <w:ind w:leftChars="200"/>
        <w:rPr>
          <w:rFonts w:hint="eastAsia" w:eastAsiaTheme="minorEastAsia"/>
          <w:highlight w:val="none"/>
          <w:lang w:val="en-US" w:eastAsia="zh-CN"/>
        </w:rPr>
      </w:pPr>
      <w:r>
        <w:rPr>
          <w:rFonts w:hint="eastAsia" w:eastAsiaTheme="minorEastAsia"/>
          <w:highlight w:val="none"/>
          <w:lang w:val="en-US" w:eastAsia="zh-CN"/>
        </w:rPr>
        <w:t>Perf part:</w:t>
      </w:r>
    </w:p>
    <w:p w14:paraId="58C74364">
      <w:pPr>
        <w:pStyle w:val="38"/>
        <w:numPr>
          <w:ilvl w:val="0"/>
          <w:numId w:val="4"/>
        </w:numPr>
        <w:ind w:leftChars="0"/>
        <w:rPr>
          <w:color w:val="auto"/>
          <w:highlight w:val="none"/>
        </w:rPr>
      </w:pPr>
      <w:r>
        <w:rPr>
          <w:color w:val="auto"/>
          <w:highlight w:val="none"/>
        </w:rPr>
        <w:t>NTN HD-FDD VSAT for Ka/Ku bands</w:t>
      </w:r>
    </w:p>
    <w:p w14:paraId="70364570">
      <w:pPr>
        <w:pStyle w:val="38"/>
        <w:keepNext w:val="0"/>
        <w:keepLines w:val="0"/>
        <w:pageBreakBefore w:val="0"/>
        <w:widowControl w:val="0"/>
        <w:numPr>
          <w:ilvl w:val="3"/>
          <w:numId w:val="4"/>
        </w:numPr>
        <w:kinsoku/>
        <w:wordWrap/>
        <w:overflowPunct/>
        <w:topLinePunct w:val="0"/>
        <w:autoSpaceDE/>
        <w:autoSpaceDN/>
        <w:bidi w:val="0"/>
        <w:adjustRightInd/>
        <w:snapToGrid/>
        <w:spacing w:line="260" w:lineRule="auto"/>
        <w:ind w:left="1179"/>
        <w:contextualSpacing w:val="0"/>
        <w:textAlignment w:val="auto"/>
        <w:rPr>
          <w:rFonts w:hint="eastAsia"/>
          <w:highlight w:val="none"/>
          <w:lang w:val="en-US" w:eastAsia="zh-CN"/>
        </w:rPr>
      </w:pPr>
      <w:r>
        <w:rPr>
          <w:rFonts w:hint="eastAsia"/>
          <w:sz w:val="21"/>
          <w:szCs w:val="28"/>
          <w:highlight w:val="none"/>
          <w:lang w:val="en-US" w:eastAsia="zh-CN"/>
        </w:rPr>
        <w:t>The necessary demod requirement for HD-FDD VSAT</w:t>
      </w:r>
    </w:p>
    <w:p w14:paraId="282D9B35">
      <w:pPr>
        <w:pStyle w:val="38"/>
        <w:keepNext w:val="0"/>
        <w:keepLines w:val="0"/>
        <w:pageBreakBefore w:val="0"/>
        <w:widowControl w:val="0"/>
        <w:numPr>
          <w:ilvl w:val="3"/>
          <w:numId w:val="4"/>
        </w:numPr>
        <w:kinsoku/>
        <w:wordWrap/>
        <w:overflowPunct/>
        <w:topLinePunct w:val="0"/>
        <w:autoSpaceDE/>
        <w:autoSpaceDN/>
        <w:bidi w:val="0"/>
        <w:adjustRightInd/>
        <w:snapToGrid/>
        <w:spacing w:line="260" w:lineRule="auto"/>
        <w:ind w:left="1179"/>
        <w:contextualSpacing w:val="0"/>
        <w:textAlignment w:val="auto"/>
        <w:rPr>
          <w:rFonts w:hint="eastAsia"/>
          <w:bCs/>
          <w:iCs/>
          <w:szCs w:val="20"/>
          <w:highlight w:val="none"/>
        </w:rPr>
      </w:pPr>
      <w:r>
        <w:rPr>
          <w:rFonts w:hint="eastAsia"/>
          <w:sz w:val="21"/>
          <w:szCs w:val="28"/>
          <w:highlight w:val="none"/>
          <w:lang w:val="en-US" w:eastAsia="zh-CN"/>
        </w:rPr>
        <w:t>The necessary RRM test case for HD-FDD VSAT</w:t>
      </w:r>
    </w:p>
    <w:p w14:paraId="7D4FA400">
      <w:pPr>
        <w:pStyle w:val="59"/>
        <w:tabs>
          <w:tab w:val="left" w:pos="567"/>
          <w:tab w:val="clear" w:pos="1985"/>
        </w:tabs>
        <w:adjustRightInd w:val="0"/>
        <w:ind w:left="510" w:hanging="510"/>
        <w:rPr>
          <w:highlight w:val="none"/>
        </w:rPr>
      </w:pPr>
      <w:r>
        <w:rPr>
          <w:highlight w:val="none"/>
        </w:rPr>
        <w:t>Conclusions</w:t>
      </w:r>
    </w:p>
    <w:p w14:paraId="7466396C">
      <w:pPr>
        <w:spacing w:after="0"/>
        <w:jc w:val="left"/>
        <w:rPr>
          <w:rFonts w:hint="eastAsia" w:eastAsiaTheme="minorEastAsia"/>
          <w:highlight w:val="none"/>
          <w:lang w:val="en-US" w:eastAsia="zh-CN"/>
        </w:rPr>
      </w:pPr>
      <w:r>
        <w:rPr>
          <w:rFonts w:hint="eastAsia" w:eastAsiaTheme="minorEastAsia"/>
          <w:highlight w:val="none"/>
        </w:rPr>
        <w:t>In this contribution, we shared some further views on Rel-20</w:t>
      </w:r>
      <w:r>
        <w:rPr>
          <w:rFonts w:hint="eastAsia" w:eastAsiaTheme="minorEastAsia"/>
          <w:highlight w:val="none"/>
          <w:lang w:val="en-US" w:eastAsia="zh-CN"/>
        </w:rPr>
        <w:t xml:space="preserve"> RRM enhancement</w:t>
      </w:r>
      <w:r>
        <w:rPr>
          <w:rFonts w:hint="eastAsia" w:eastAsiaTheme="minorEastAsia"/>
          <w:highlight w:val="none"/>
        </w:rPr>
        <w:t xml:space="preserve"> based on RAN#10</w:t>
      </w:r>
      <w:r>
        <w:rPr>
          <w:rFonts w:hint="eastAsia" w:eastAsiaTheme="minorEastAsia"/>
          <w:highlight w:val="none"/>
          <w:lang w:val="en-US" w:eastAsia="zh-CN"/>
        </w:rPr>
        <w:t>8</w:t>
      </w:r>
      <w:r>
        <w:rPr>
          <w:rFonts w:hint="eastAsia" w:eastAsiaTheme="minorEastAsia"/>
          <w:highlight w:val="none"/>
        </w:rPr>
        <w:t xml:space="preserve"> moderator</w:t>
      </w:r>
      <w:r>
        <w:rPr>
          <w:rFonts w:eastAsiaTheme="minorEastAsia"/>
          <w:highlight w:val="none"/>
        </w:rPr>
        <w:t>’</w:t>
      </w:r>
      <w:r>
        <w:rPr>
          <w:rFonts w:hint="eastAsia" w:eastAsiaTheme="minorEastAsia"/>
          <w:highlight w:val="none"/>
        </w:rPr>
        <w:t xml:space="preserve">s </w:t>
      </w:r>
      <w:r>
        <w:rPr>
          <w:rFonts w:hint="eastAsia" w:eastAsiaTheme="minorEastAsia"/>
          <w:highlight w:val="none"/>
          <w:lang w:val="en-US" w:eastAsia="zh-CN"/>
        </w:rPr>
        <w:t>way forward.</w:t>
      </w:r>
    </w:p>
    <w:p w14:paraId="5F694E2D">
      <w:pPr>
        <w:rPr>
          <w:rFonts w:hint="default"/>
          <w:b/>
          <w:bCs/>
          <w:highlight w:val="none"/>
          <w:lang w:val="en-US" w:eastAsia="zh-CN"/>
        </w:rPr>
      </w:pPr>
      <w:r>
        <w:rPr>
          <w:rFonts w:hint="eastAsia"/>
          <w:b/>
          <w:bCs/>
          <w:highlight w:val="none"/>
          <w:lang w:val="en-US" w:eastAsia="zh-CN"/>
        </w:rPr>
        <w:t xml:space="preserve">Proposal 1: </w:t>
      </w:r>
      <w:r>
        <w:rPr>
          <w:rFonts w:hint="eastAsia"/>
          <w:b w:val="0"/>
          <w:bCs w:val="0"/>
          <w:highlight w:val="none"/>
          <w:lang w:val="en-US" w:eastAsia="zh-CN"/>
        </w:rPr>
        <w:t>for NTN HPUE objective, we propose to consider the following objective:</w:t>
      </w:r>
    </w:p>
    <w:p w14:paraId="1B8639DC">
      <w:pPr>
        <w:pStyle w:val="38"/>
        <w:numPr>
          <w:ilvl w:val="0"/>
          <w:numId w:val="4"/>
        </w:numPr>
        <w:ind w:leftChars="0"/>
        <w:rPr>
          <w:highlight w:val="none"/>
        </w:rPr>
      </w:pPr>
      <w:r>
        <w:rPr>
          <w:highlight w:val="none"/>
        </w:rPr>
        <w:t>NTN HPUE</w:t>
      </w:r>
      <w:r>
        <w:rPr>
          <w:rFonts w:hint="eastAsia"/>
          <w:highlight w:val="none"/>
          <w:lang w:val="en-US" w:eastAsia="zh-CN"/>
        </w:rPr>
        <w:t xml:space="preserve"> for handheld device in FR1 FDD band</w:t>
      </w:r>
      <w:r>
        <w:rPr>
          <w:highlight w:val="none"/>
        </w:rPr>
        <w:t xml:space="preserve"> </w:t>
      </w:r>
    </w:p>
    <w:p w14:paraId="0DED9CC7">
      <w:pPr>
        <w:pStyle w:val="38"/>
        <w:numPr>
          <w:ilvl w:val="2"/>
          <w:numId w:val="4"/>
        </w:numPr>
        <w:ind w:leftChars="0"/>
        <w:rPr>
          <w:highlight w:val="none"/>
        </w:rPr>
      </w:pPr>
      <w:r>
        <w:rPr>
          <w:highlight w:val="none"/>
        </w:rPr>
        <w:t>NR NTN with 2TX (for FDD 2TX with 26dBm per PA)</w:t>
      </w:r>
    </w:p>
    <w:p w14:paraId="663EAAEC">
      <w:pPr>
        <w:pStyle w:val="38"/>
        <w:numPr>
          <w:ilvl w:val="2"/>
          <w:numId w:val="4"/>
        </w:numPr>
        <w:ind w:leftChars="0"/>
        <w:rPr>
          <w:highlight w:val="none"/>
        </w:rPr>
      </w:pPr>
      <w:r>
        <w:rPr>
          <w:highlight w:val="none"/>
        </w:rPr>
        <w:t>IoT NTN with 1TX</w:t>
      </w:r>
      <w:r>
        <w:rPr>
          <w:rFonts w:hint="eastAsia"/>
          <w:highlight w:val="none"/>
          <w:lang w:val="en-US" w:eastAsia="zh-CN"/>
        </w:rPr>
        <w:t xml:space="preserve"> with 29dBm per PA</w:t>
      </w:r>
    </w:p>
    <w:p w14:paraId="68CE7DF9">
      <w:pPr>
        <w:pStyle w:val="38"/>
        <w:numPr>
          <w:ilvl w:val="2"/>
          <w:numId w:val="4"/>
        </w:numPr>
        <w:ind w:leftChars="0"/>
        <w:rPr>
          <w:rFonts w:hint="eastAsia" w:ascii="Times New Roman" w:hAnsi="Times New Roman" w:eastAsia="宋体" w:cs="Times New Roman"/>
          <w:highlight w:val="none"/>
          <w:lang w:val="en-US" w:eastAsia="zh-CN"/>
        </w:rPr>
      </w:pPr>
      <w:r>
        <w:rPr>
          <w:rFonts w:hint="eastAsia"/>
          <w:highlight w:val="none"/>
          <w:lang w:val="en-US" w:eastAsia="zh-CN"/>
        </w:rPr>
        <w:t xml:space="preserve">The feasibility study </w:t>
      </w:r>
      <w:r>
        <w:rPr>
          <w:highlight w:val="none"/>
        </w:rPr>
        <w:t>NR NTN with</w:t>
      </w:r>
      <w:r>
        <w:rPr>
          <w:rFonts w:hint="eastAsia" w:ascii="Times New Roman" w:hAnsi="Times New Roman" w:eastAsia="宋体" w:cs="Times New Roman"/>
          <w:highlight w:val="none"/>
          <w:lang w:val="en-US" w:eastAsia="zh-CN"/>
        </w:rPr>
        <w:t xml:space="preserve"> 1TX 29dBm PA and its duplexer</w:t>
      </w:r>
    </w:p>
    <w:p w14:paraId="7498CC11">
      <w:pPr>
        <w:rPr>
          <w:rFonts w:hint="eastAsia"/>
          <w:highlight w:val="none"/>
          <w:lang w:val="en-US" w:eastAsia="zh-CN"/>
        </w:rPr>
      </w:pPr>
      <w:r>
        <w:rPr>
          <w:rFonts w:hint="eastAsia"/>
          <w:b/>
          <w:bCs/>
          <w:highlight w:val="none"/>
          <w:lang w:val="en-US" w:eastAsia="zh-CN"/>
        </w:rPr>
        <w:t>Observation 1</w:t>
      </w:r>
      <w:r>
        <w:rPr>
          <w:rFonts w:hint="eastAsia"/>
          <w:highlight w:val="none"/>
          <w:lang w:val="en-US" w:eastAsia="zh-CN"/>
        </w:rPr>
        <w:t xml:space="preserve">: for HD-FDD VSAT, it is not expected to have spec impacts in addition to NTN Redcap UE defined in Rel-19.  </w:t>
      </w:r>
    </w:p>
    <w:p w14:paraId="72AB5794">
      <w:pPr>
        <w:rPr>
          <w:rFonts w:hint="default" w:eastAsiaTheme="minorEastAsia"/>
          <w:highlight w:val="none"/>
          <w:lang w:val="en-US" w:eastAsia="zh-CN"/>
        </w:rPr>
      </w:pPr>
      <w:r>
        <w:rPr>
          <w:rFonts w:hint="eastAsia"/>
          <w:b/>
          <w:bCs/>
          <w:highlight w:val="none"/>
          <w:lang w:val="en-US" w:eastAsia="zh-CN"/>
        </w:rPr>
        <w:t xml:space="preserve">Proposal 2: </w:t>
      </w:r>
      <w:r>
        <w:rPr>
          <w:rFonts w:hint="eastAsia"/>
          <w:b w:val="0"/>
          <w:bCs w:val="0"/>
          <w:highlight w:val="none"/>
          <w:lang w:val="en-US" w:eastAsia="zh-CN"/>
        </w:rPr>
        <w:t>for Rel-20 NTN enhancement, we propose to rephrase in the following way:</w:t>
      </w:r>
    </w:p>
    <w:p w14:paraId="08B5ECFA">
      <w:pPr>
        <w:pStyle w:val="38"/>
        <w:numPr>
          <w:ilvl w:val="0"/>
          <w:numId w:val="0"/>
        </w:numPr>
        <w:spacing w:after="0" w:line="260" w:lineRule="auto"/>
        <w:ind w:left="544" w:leftChars="0"/>
        <w:rPr>
          <w:rFonts w:hint="default" w:eastAsia="宋体"/>
          <w:bCs/>
          <w:iCs/>
          <w:szCs w:val="20"/>
          <w:highlight w:val="none"/>
          <w:lang w:val="en-US" w:eastAsia="zh-CN"/>
        </w:rPr>
      </w:pPr>
      <w:r>
        <w:rPr>
          <w:rFonts w:hint="eastAsia"/>
          <w:bCs/>
          <w:iCs/>
          <w:szCs w:val="20"/>
          <w:highlight w:val="none"/>
          <w:lang w:val="en-US" w:eastAsia="zh-CN"/>
        </w:rPr>
        <w:t>Core part:</w:t>
      </w:r>
    </w:p>
    <w:p w14:paraId="78F373E2">
      <w:pPr>
        <w:pStyle w:val="38"/>
        <w:numPr>
          <w:ilvl w:val="0"/>
          <w:numId w:val="4"/>
        </w:numPr>
        <w:ind w:leftChars="0"/>
        <w:rPr>
          <w:highlight w:val="none"/>
        </w:rPr>
      </w:pPr>
      <w:r>
        <w:rPr>
          <w:highlight w:val="none"/>
        </w:rPr>
        <w:t>NTN HPUE</w:t>
      </w:r>
      <w:r>
        <w:rPr>
          <w:rFonts w:hint="eastAsia"/>
          <w:highlight w:val="none"/>
          <w:lang w:val="en-US" w:eastAsia="zh-CN"/>
        </w:rPr>
        <w:t xml:space="preserve"> for handheld device in FR1 FDD band</w:t>
      </w:r>
      <w:r>
        <w:rPr>
          <w:highlight w:val="none"/>
        </w:rPr>
        <w:t xml:space="preserve"> </w:t>
      </w:r>
    </w:p>
    <w:p w14:paraId="7221CC99">
      <w:pPr>
        <w:pStyle w:val="38"/>
        <w:numPr>
          <w:ilvl w:val="2"/>
          <w:numId w:val="4"/>
        </w:numPr>
        <w:ind w:leftChars="0"/>
        <w:rPr>
          <w:highlight w:val="none"/>
        </w:rPr>
      </w:pPr>
      <w:r>
        <w:rPr>
          <w:highlight w:val="none"/>
        </w:rPr>
        <w:t>NR NTN with 2TX (for FDD 2TX with 26dBm per PA)</w:t>
      </w:r>
    </w:p>
    <w:p w14:paraId="6774F0D1">
      <w:pPr>
        <w:pStyle w:val="38"/>
        <w:numPr>
          <w:ilvl w:val="2"/>
          <w:numId w:val="4"/>
        </w:numPr>
        <w:ind w:leftChars="0"/>
        <w:rPr>
          <w:highlight w:val="none"/>
        </w:rPr>
      </w:pPr>
      <w:r>
        <w:rPr>
          <w:highlight w:val="none"/>
        </w:rPr>
        <w:t>IoT NTN with 1TX</w:t>
      </w:r>
      <w:r>
        <w:rPr>
          <w:rFonts w:hint="eastAsia"/>
          <w:highlight w:val="none"/>
          <w:lang w:val="en-US" w:eastAsia="zh-CN"/>
        </w:rPr>
        <w:t xml:space="preserve"> with 29dBm per PA</w:t>
      </w:r>
    </w:p>
    <w:p w14:paraId="1E2B2E87">
      <w:pPr>
        <w:pStyle w:val="38"/>
        <w:numPr>
          <w:ilvl w:val="2"/>
          <w:numId w:val="4"/>
        </w:numPr>
        <w:ind w:leftChars="0"/>
        <w:rPr>
          <w:rFonts w:hint="eastAsia" w:ascii="Times New Roman" w:hAnsi="Times New Roman" w:eastAsia="宋体" w:cs="Times New Roman"/>
          <w:highlight w:val="none"/>
          <w:lang w:val="en-US" w:eastAsia="zh-CN"/>
        </w:rPr>
      </w:pPr>
      <w:r>
        <w:rPr>
          <w:rFonts w:hint="eastAsia"/>
          <w:highlight w:val="none"/>
          <w:lang w:val="en-US" w:eastAsia="zh-CN"/>
        </w:rPr>
        <w:t xml:space="preserve">The feasibility study </w:t>
      </w:r>
      <w:r>
        <w:rPr>
          <w:highlight w:val="none"/>
        </w:rPr>
        <w:t>NR NTN with</w:t>
      </w:r>
      <w:r>
        <w:rPr>
          <w:rFonts w:hint="eastAsia" w:ascii="Times New Roman" w:hAnsi="Times New Roman" w:eastAsia="宋体" w:cs="Times New Roman"/>
          <w:highlight w:val="none"/>
          <w:lang w:val="en-US" w:eastAsia="zh-CN"/>
        </w:rPr>
        <w:t xml:space="preserve"> 1TX 29dBm PA and its duplexer</w:t>
      </w:r>
    </w:p>
    <w:p w14:paraId="378741B1">
      <w:pPr>
        <w:pStyle w:val="38"/>
        <w:numPr>
          <w:ilvl w:val="0"/>
          <w:numId w:val="4"/>
        </w:numPr>
        <w:ind w:leftChars="0"/>
        <w:rPr>
          <w:color w:val="auto"/>
          <w:highlight w:val="none"/>
        </w:rPr>
      </w:pPr>
      <w:r>
        <w:rPr>
          <w:color w:val="auto"/>
          <w:highlight w:val="none"/>
        </w:rPr>
        <w:t>NTN HD-FDD VSAT for Ka/Ku bands</w:t>
      </w:r>
    </w:p>
    <w:p w14:paraId="4F25AEB4">
      <w:pPr>
        <w:pStyle w:val="38"/>
        <w:numPr>
          <w:ilvl w:val="1"/>
          <w:numId w:val="4"/>
        </w:numPr>
        <w:ind w:leftChars="0"/>
        <w:rPr>
          <w:color w:val="auto"/>
          <w:highlight w:val="none"/>
        </w:rPr>
      </w:pPr>
      <w:r>
        <w:rPr>
          <w:color w:val="auto"/>
          <w:highlight w:val="none"/>
        </w:rPr>
        <w:t xml:space="preserve">RAN4 will start with HD-FDD mobile VSAT with small antennas (e.g 20x20cm). </w:t>
      </w:r>
    </w:p>
    <w:p w14:paraId="182FF89B">
      <w:pPr>
        <w:pStyle w:val="38"/>
        <w:numPr>
          <w:ilvl w:val="1"/>
          <w:numId w:val="4"/>
        </w:numPr>
        <w:ind w:leftChars="0"/>
        <w:rPr>
          <w:color w:val="auto"/>
          <w:highlight w:val="none"/>
        </w:rPr>
      </w:pPr>
      <w:r>
        <w:rPr>
          <w:color w:val="auto"/>
          <w:highlight w:val="none"/>
        </w:rPr>
        <w:t xml:space="preserve">Once the mobile VSAT with small antennas work is done, </w:t>
      </w:r>
    </w:p>
    <w:p w14:paraId="310FBFAD">
      <w:pPr>
        <w:pStyle w:val="38"/>
        <w:numPr>
          <w:ilvl w:val="2"/>
          <w:numId w:val="4"/>
        </w:numPr>
        <w:contextualSpacing w:val="0"/>
        <w:rPr>
          <w:sz w:val="21"/>
          <w:szCs w:val="28"/>
          <w:highlight w:val="none"/>
        </w:rPr>
      </w:pPr>
      <w:r>
        <w:rPr>
          <w:sz w:val="21"/>
          <w:szCs w:val="28"/>
          <w:highlight w:val="none"/>
        </w:rPr>
        <w:t xml:space="preserve">Once the mobile VSAT with small antennas work is done, </w:t>
      </w:r>
    </w:p>
    <w:p w14:paraId="35C151A6">
      <w:pPr>
        <w:pStyle w:val="38"/>
        <w:numPr>
          <w:ilvl w:val="3"/>
          <w:numId w:val="4"/>
        </w:numPr>
        <w:contextualSpacing w:val="0"/>
        <w:rPr>
          <w:sz w:val="21"/>
          <w:szCs w:val="28"/>
          <w:highlight w:val="none"/>
        </w:rPr>
      </w:pPr>
      <w:r>
        <w:rPr>
          <w:sz w:val="21"/>
          <w:szCs w:val="28"/>
          <w:highlight w:val="none"/>
        </w:rPr>
        <w:t xml:space="preserve">NTN HD-FDD for fixed VSAT and the mobile VSAT with large/normal antenna will be discussed, including how the agreements for the mobile VSAT with small antenna can be leveraged as applicable </w:t>
      </w:r>
    </w:p>
    <w:p w14:paraId="50E3C3BC">
      <w:pPr>
        <w:pStyle w:val="38"/>
        <w:numPr>
          <w:ilvl w:val="3"/>
          <w:numId w:val="4"/>
        </w:numPr>
        <w:contextualSpacing w:val="0"/>
        <w:rPr>
          <w:rFonts w:hint="eastAsia"/>
          <w:highlight w:val="none"/>
          <w:lang w:val="en-US" w:eastAsia="zh-CN"/>
        </w:rPr>
      </w:pPr>
      <w:r>
        <w:rPr>
          <w:rFonts w:hint="eastAsia"/>
          <w:sz w:val="21"/>
          <w:szCs w:val="28"/>
          <w:highlight w:val="none"/>
          <w:lang w:val="en-US" w:eastAsia="zh-CN"/>
        </w:rPr>
        <w:t>reuse</w:t>
      </w:r>
      <w:r>
        <w:rPr>
          <w:sz w:val="21"/>
          <w:szCs w:val="28"/>
          <w:highlight w:val="none"/>
        </w:rPr>
        <w:t xml:space="preserve"> RedCap over NTN HD-FDD solution </w:t>
      </w:r>
      <w:r>
        <w:rPr>
          <w:rFonts w:hint="eastAsia"/>
          <w:sz w:val="21"/>
          <w:szCs w:val="28"/>
          <w:highlight w:val="none"/>
          <w:lang w:val="en-US" w:eastAsia="zh-CN"/>
        </w:rPr>
        <w:t>to avoid RAN1/RAN2 impacts</w:t>
      </w:r>
    </w:p>
    <w:p w14:paraId="377B825F">
      <w:pPr>
        <w:pStyle w:val="38"/>
        <w:numPr>
          <w:ilvl w:val="3"/>
          <w:numId w:val="4"/>
        </w:numPr>
        <w:contextualSpacing w:val="0"/>
        <w:rPr>
          <w:rFonts w:hint="eastAsia"/>
          <w:highlight w:val="none"/>
          <w:lang w:val="en-US" w:eastAsia="zh-CN"/>
        </w:rPr>
      </w:pPr>
      <w:r>
        <w:rPr>
          <w:rFonts w:hint="eastAsia"/>
          <w:sz w:val="21"/>
          <w:szCs w:val="28"/>
          <w:highlight w:val="none"/>
          <w:lang w:val="en-US" w:eastAsia="zh-CN"/>
        </w:rPr>
        <w:t>RF requirement for small VSAT and HD-FDD operation;</w:t>
      </w:r>
    </w:p>
    <w:p w14:paraId="3C0ACB55">
      <w:pPr>
        <w:pStyle w:val="38"/>
        <w:numPr>
          <w:ilvl w:val="3"/>
          <w:numId w:val="4"/>
        </w:numPr>
        <w:contextualSpacing w:val="0"/>
        <w:rPr>
          <w:rFonts w:hint="eastAsia"/>
          <w:highlight w:val="none"/>
          <w:lang w:val="en-US" w:eastAsia="zh-CN"/>
        </w:rPr>
      </w:pPr>
      <w:r>
        <w:rPr>
          <w:rFonts w:hint="eastAsia"/>
          <w:sz w:val="21"/>
          <w:szCs w:val="28"/>
          <w:highlight w:val="none"/>
          <w:lang w:val="en-US" w:eastAsia="zh-CN"/>
        </w:rPr>
        <w:t>The necessary RRM requirement for HD-FDD VSAT</w:t>
      </w:r>
    </w:p>
    <w:p w14:paraId="2FB047E1">
      <w:pPr>
        <w:pStyle w:val="38"/>
        <w:numPr>
          <w:ilvl w:val="0"/>
          <w:numId w:val="4"/>
        </w:numPr>
        <w:ind w:leftChars="0"/>
        <w:rPr>
          <w:color w:val="auto"/>
          <w:highlight w:val="none"/>
        </w:rPr>
      </w:pPr>
      <w:r>
        <w:rPr>
          <w:color w:val="auto"/>
          <w:highlight w:val="none"/>
        </w:rPr>
        <w:t xml:space="preserve">NTN DL CA </w:t>
      </w:r>
    </w:p>
    <w:p w14:paraId="0777ECC1">
      <w:pPr>
        <w:pStyle w:val="38"/>
        <w:keepNext w:val="0"/>
        <w:keepLines w:val="0"/>
        <w:numPr>
          <w:ilvl w:val="2"/>
          <w:numId w:val="4"/>
        </w:numPr>
        <w:suppressLineNumbers w:val="0"/>
        <w:spacing w:before="0" w:beforeAutospacing="0" w:afterAutospacing="0"/>
        <w:ind w:right="0"/>
        <w:rPr>
          <w:rFonts w:hint="default"/>
          <w:sz w:val="21"/>
          <w:szCs w:val="21"/>
          <w:highlight w:val="none"/>
        </w:rPr>
      </w:pPr>
      <w:r>
        <w:rPr>
          <w:rFonts w:hint="default"/>
          <w:sz w:val="21"/>
          <w:szCs w:val="21"/>
          <w:highlight w:val="none"/>
        </w:rPr>
        <w:t>Intra-SAN CA limited to DL intra-band contiguous and non-contiguous</w:t>
      </w:r>
      <w:r>
        <w:rPr>
          <w:rFonts w:hint="default"/>
          <w:b/>
          <w:bCs/>
          <w:sz w:val="21"/>
          <w:szCs w:val="21"/>
          <w:highlight w:val="none"/>
        </w:rPr>
        <w:t xml:space="preserve"> </w:t>
      </w:r>
      <w:r>
        <w:rPr>
          <w:rFonts w:hint="default"/>
          <w:sz w:val="21"/>
          <w:szCs w:val="21"/>
          <w:highlight w:val="none"/>
        </w:rPr>
        <w:t xml:space="preserve">with 2CC </w:t>
      </w:r>
    </w:p>
    <w:p w14:paraId="6A4E0115">
      <w:pPr>
        <w:pStyle w:val="38"/>
        <w:keepNext w:val="0"/>
        <w:keepLines w:val="0"/>
        <w:numPr>
          <w:ilvl w:val="3"/>
          <w:numId w:val="4"/>
        </w:numPr>
        <w:suppressLineNumbers w:val="0"/>
        <w:spacing w:before="0" w:beforeAutospacing="0" w:afterAutospacing="0"/>
        <w:ind w:right="0"/>
        <w:rPr>
          <w:rFonts w:hint="default"/>
          <w:sz w:val="21"/>
          <w:szCs w:val="21"/>
          <w:highlight w:val="none"/>
        </w:rPr>
      </w:pPr>
      <w:r>
        <w:rPr>
          <w:rFonts w:hint="default"/>
          <w:sz w:val="21"/>
          <w:szCs w:val="21"/>
          <w:highlight w:val="none"/>
        </w:rPr>
        <w:t>Example bands will be further decided within L/S-band and Ku/Ka-band as example bands </w:t>
      </w:r>
    </w:p>
    <w:p w14:paraId="2975445F">
      <w:pPr>
        <w:pStyle w:val="38"/>
        <w:keepNext w:val="0"/>
        <w:keepLines w:val="0"/>
        <w:numPr>
          <w:ilvl w:val="3"/>
          <w:numId w:val="4"/>
        </w:numPr>
        <w:suppressLineNumbers w:val="0"/>
        <w:spacing w:before="0" w:beforeAutospacing="0" w:afterAutospacing="0"/>
        <w:ind w:right="0"/>
        <w:rPr>
          <w:rFonts w:hint="default"/>
          <w:sz w:val="21"/>
          <w:szCs w:val="21"/>
          <w:highlight w:val="none"/>
        </w:rPr>
      </w:pPr>
      <w:r>
        <w:rPr>
          <w:rFonts w:hint="default"/>
          <w:sz w:val="21"/>
          <w:szCs w:val="21"/>
          <w:highlight w:val="none"/>
        </w:rPr>
        <w:t>Depending on the available band combinations, interested companies can propose to extend this work to intra-band with more than 2CC in the check-point in June 2026</w:t>
      </w:r>
    </w:p>
    <w:p w14:paraId="5C18EF43">
      <w:pPr>
        <w:pStyle w:val="38"/>
        <w:keepNext w:val="0"/>
        <w:keepLines w:val="0"/>
        <w:numPr>
          <w:ilvl w:val="2"/>
          <w:numId w:val="4"/>
        </w:numPr>
        <w:suppressLineNumbers w:val="0"/>
        <w:spacing w:before="0" w:beforeAutospacing="0" w:afterAutospacing="0"/>
        <w:ind w:right="0"/>
        <w:contextualSpacing w:val="0"/>
        <w:rPr>
          <w:rFonts w:hint="default"/>
          <w:sz w:val="21"/>
          <w:szCs w:val="21"/>
          <w:highlight w:val="none"/>
        </w:rPr>
      </w:pPr>
      <w:r>
        <w:rPr>
          <w:rFonts w:hint="default"/>
          <w:sz w:val="21"/>
          <w:szCs w:val="21"/>
          <w:highlight w:val="none"/>
        </w:rPr>
        <w:t xml:space="preserve">RAN1/2 impact is </w:t>
      </w:r>
      <w:r>
        <w:rPr>
          <w:rFonts w:hint="eastAsia"/>
          <w:sz w:val="21"/>
          <w:szCs w:val="21"/>
          <w:highlight w:val="none"/>
          <w:lang w:val="en-US" w:eastAsia="zh-CN"/>
        </w:rPr>
        <w:t xml:space="preserve">not </w:t>
      </w:r>
      <w:r>
        <w:rPr>
          <w:rFonts w:hint="default"/>
          <w:sz w:val="21"/>
          <w:szCs w:val="21"/>
          <w:highlight w:val="none"/>
        </w:rPr>
        <w:t xml:space="preserve">expected </w:t>
      </w:r>
      <w:r>
        <w:rPr>
          <w:rFonts w:hint="eastAsia"/>
          <w:sz w:val="21"/>
          <w:szCs w:val="21"/>
          <w:highlight w:val="none"/>
          <w:lang w:val="en-US" w:eastAsia="zh-CN"/>
        </w:rPr>
        <w:t xml:space="preserve">for NTN CA in Rel-20. </w:t>
      </w:r>
    </w:p>
    <w:p w14:paraId="43C5F9A4">
      <w:pPr>
        <w:pStyle w:val="38"/>
        <w:numPr>
          <w:ilvl w:val="0"/>
          <w:numId w:val="4"/>
        </w:numPr>
        <w:ind w:leftChars="0"/>
        <w:rPr>
          <w:highlight w:val="none"/>
        </w:rPr>
      </w:pPr>
      <w:r>
        <w:rPr>
          <w:highlight w:val="none"/>
        </w:rPr>
        <w:t>Spec clean-up/fixing: Missing Channel BW Common Core and Perf Requirements</w:t>
      </w:r>
    </w:p>
    <w:p w14:paraId="2E15F5A8">
      <w:pPr>
        <w:pStyle w:val="38"/>
        <w:numPr>
          <w:ilvl w:val="1"/>
          <w:numId w:val="4"/>
        </w:numPr>
        <w:ind w:leftChars="0"/>
        <w:rPr>
          <w:highlight w:val="none"/>
        </w:rPr>
      </w:pPr>
      <w:r>
        <w:rPr>
          <w:highlight w:val="none"/>
        </w:rPr>
        <w:t>30MHz (DL/UL), 40MHz (priority DL), 25MHz with PC3</w:t>
      </w:r>
    </w:p>
    <w:p w14:paraId="2EDF3FC7">
      <w:pPr>
        <w:pStyle w:val="38"/>
        <w:numPr>
          <w:ilvl w:val="2"/>
          <w:numId w:val="4"/>
        </w:numPr>
        <w:ind w:leftChars="0"/>
        <w:rPr>
          <w:rFonts w:hint="eastAsia" w:eastAsiaTheme="minorEastAsia"/>
          <w:highlight w:val="none"/>
          <w:lang w:val="en-US" w:eastAsia="zh-CN"/>
        </w:rPr>
      </w:pPr>
      <w:r>
        <w:rPr>
          <w:highlight w:val="none"/>
        </w:rPr>
        <w:t>Take one example band with minimum work with PC3</w:t>
      </w:r>
    </w:p>
    <w:p w14:paraId="35C3F385">
      <w:pPr>
        <w:pStyle w:val="38"/>
        <w:numPr>
          <w:ilvl w:val="0"/>
          <w:numId w:val="0"/>
        </w:numPr>
        <w:ind w:leftChars="200"/>
        <w:rPr>
          <w:rFonts w:hint="eastAsia" w:eastAsiaTheme="minorEastAsia"/>
          <w:highlight w:val="none"/>
          <w:lang w:val="en-US" w:eastAsia="zh-CN"/>
        </w:rPr>
      </w:pPr>
      <w:r>
        <w:rPr>
          <w:rFonts w:hint="eastAsia" w:eastAsiaTheme="minorEastAsia"/>
          <w:highlight w:val="none"/>
          <w:lang w:val="en-US" w:eastAsia="zh-CN"/>
        </w:rPr>
        <w:t>Perf part:</w:t>
      </w:r>
    </w:p>
    <w:p w14:paraId="0752A48E">
      <w:pPr>
        <w:pStyle w:val="38"/>
        <w:numPr>
          <w:ilvl w:val="0"/>
          <w:numId w:val="4"/>
        </w:numPr>
        <w:ind w:leftChars="0"/>
        <w:rPr>
          <w:color w:val="auto"/>
          <w:highlight w:val="none"/>
        </w:rPr>
      </w:pPr>
      <w:r>
        <w:rPr>
          <w:color w:val="auto"/>
          <w:highlight w:val="none"/>
        </w:rPr>
        <w:t>NTN HD-FDD VSAT for Ka/Ku bands</w:t>
      </w:r>
    </w:p>
    <w:p w14:paraId="6C28260F">
      <w:pPr>
        <w:pStyle w:val="38"/>
        <w:keepNext w:val="0"/>
        <w:keepLines w:val="0"/>
        <w:pageBreakBefore w:val="0"/>
        <w:widowControl w:val="0"/>
        <w:numPr>
          <w:ilvl w:val="3"/>
          <w:numId w:val="4"/>
        </w:numPr>
        <w:kinsoku/>
        <w:wordWrap/>
        <w:overflowPunct/>
        <w:topLinePunct w:val="0"/>
        <w:autoSpaceDE/>
        <w:autoSpaceDN/>
        <w:bidi w:val="0"/>
        <w:adjustRightInd/>
        <w:snapToGrid/>
        <w:spacing w:line="260" w:lineRule="auto"/>
        <w:ind w:left="1179"/>
        <w:contextualSpacing w:val="0"/>
        <w:textAlignment w:val="auto"/>
        <w:rPr>
          <w:rFonts w:hint="eastAsia"/>
          <w:highlight w:val="none"/>
          <w:lang w:val="en-US" w:eastAsia="zh-CN"/>
        </w:rPr>
      </w:pPr>
      <w:r>
        <w:rPr>
          <w:rFonts w:hint="eastAsia"/>
          <w:sz w:val="21"/>
          <w:szCs w:val="28"/>
          <w:highlight w:val="none"/>
          <w:lang w:val="en-US" w:eastAsia="zh-CN"/>
        </w:rPr>
        <w:t>The necessary demod requirement for HD-FDD VSAT</w:t>
      </w:r>
    </w:p>
    <w:p w14:paraId="75C1E150">
      <w:pPr>
        <w:pStyle w:val="38"/>
        <w:keepNext w:val="0"/>
        <w:keepLines w:val="0"/>
        <w:pageBreakBefore w:val="0"/>
        <w:widowControl w:val="0"/>
        <w:numPr>
          <w:ilvl w:val="3"/>
          <w:numId w:val="4"/>
        </w:numPr>
        <w:kinsoku/>
        <w:wordWrap/>
        <w:overflowPunct/>
        <w:topLinePunct w:val="0"/>
        <w:autoSpaceDE/>
        <w:autoSpaceDN/>
        <w:bidi w:val="0"/>
        <w:adjustRightInd/>
        <w:snapToGrid/>
        <w:spacing w:line="260" w:lineRule="auto"/>
        <w:ind w:left="1179"/>
        <w:contextualSpacing w:val="0"/>
        <w:textAlignment w:val="auto"/>
        <w:rPr>
          <w:rFonts w:hint="eastAsia"/>
          <w:highlight w:val="none"/>
          <w:lang w:val="en-US" w:eastAsia="zh-CN"/>
        </w:rPr>
      </w:pPr>
      <w:r>
        <w:rPr>
          <w:rFonts w:hint="eastAsia"/>
          <w:sz w:val="21"/>
          <w:szCs w:val="28"/>
          <w:highlight w:val="none"/>
          <w:lang w:val="en-US" w:eastAsia="zh-CN"/>
        </w:rPr>
        <w:t>The necessary RRM test case for HD-FDD VSAT</w:t>
      </w:r>
    </w:p>
    <w:bookmarkEnd w:id="1"/>
    <w:bookmarkEnd w:id="2"/>
    <w:bookmarkEnd w:id="3"/>
    <w:bookmarkEnd w:id="4"/>
    <w:p w14:paraId="21817D90">
      <w:pPr>
        <w:pStyle w:val="59"/>
        <w:tabs>
          <w:tab w:val="left" w:pos="567"/>
          <w:tab w:val="clear" w:pos="1985"/>
        </w:tabs>
        <w:adjustRightInd w:val="0"/>
        <w:ind w:left="510" w:hanging="510"/>
        <w:rPr>
          <w:highlight w:val="none"/>
        </w:rPr>
      </w:pPr>
      <w:r>
        <w:rPr>
          <w:highlight w:val="none"/>
        </w:rPr>
        <w:t>References</w:t>
      </w:r>
    </w:p>
    <w:p w14:paraId="6FA2C2DB">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highlight w:val="none"/>
          <w:shd w:val="clear" w:color="auto" w:fill="FFFFFF"/>
        </w:rPr>
      </w:pPr>
      <w:r>
        <w:rPr>
          <w:rFonts w:hint="eastAsia" w:ascii="Times New Roman" w:hAnsi="Times New Roman" w:eastAsia="宋体" w:cs="Times New Roman"/>
          <w:kern w:val="2"/>
          <w:sz w:val="20"/>
          <w:szCs w:val="20"/>
          <w:highlight w:val="none"/>
          <w:lang w:val="en-US" w:eastAsia="zh-CN" w:bidi="ar-SA"/>
        </w:rPr>
        <w:t xml:space="preserve">[1] </w:t>
      </w:r>
      <w:r>
        <w:rPr>
          <w:rFonts w:hint="default" w:ascii="Times New Roman" w:hAnsi="Times New Roman" w:eastAsia="宋体" w:cs="Times New Roman"/>
          <w:kern w:val="2"/>
          <w:sz w:val="20"/>
          <w:szCs w:val="20"/>
          <w:highlight w:val="none"/>
          <w:lang w:val="en-US" w:eastAsia="zh-CN" w:bidi="ar-SA"/>
        </w:rPr>
        <w:t>RP-251879</w:t>
      </w:r>
      <w:r>
        <w:rPr>
          <w:rFonts w:hint="eastAsia" w:ascii="Times New Roman" w:hAnsi="Times New Roman" w:eastAsia="宋体" w:cs="Times New Roman"/>
          <w:kern w:val="2"/>
          <w:sz w:val="20"/>
          <w:szCs w:val="20"/>
          <w:highlight w:val="none"/>
          <w:lang w:val="en-US" w:eastAsia="zh-CN" w:bidi="ar-SA"/>
        </w:rPr>
        <w:t>,</w:t>
      </w:r>
      <w:r>
        <w:rPr>
          <w:rFonts w:hint="default" w:ascii="Times New Roman" w:hAnsi="Times New Roman" w:eastAsia="宋体" w:cs="Times New Roman"/>
          <w:kern w:val="2"/>
          <w:sz w:val="20"/>
          <w:szCs w:val="20"/>
          <w:highlight w:val="none"/>
          <w:lang w:val="en-US" w:eastAsia="zh-CN" w:bidi="ar-SA"/>
        </w:rPr>
        <w:t>Way forward on RAN4 R20 package</w:t>
      </w:r>
      <w:r>
        <w:rPr>
          <w:rFonts w:hint="eastAsia" w:ascii="Times New Roman" w:hAnsi="Times New Roman" w:eastAsia="宋体" w:cs="Times New Roman"/>
          <w:kern w:val="2"/>
          <w:sz w:val="20"/>
          <w:szCs w:val="20"/>
          <w:highlight w:val="none"/>
          <w:lang w:val="en-US" w:eastAsia="zh-CN" w:bidi="ar-SA"/>
        </w:rPr>
        <w:t xml:space="preserve">, </w:t>
      </w:r>
      <w:r>
        <w:rPr>
          <w:rFonts w:hint="default" w:ascii="Times New Roman" w:hAnsi="Times New Roman" w:eastAsia="宋体" w:cs="Times New Roman"/>
          <w:kern w:val="2"/>
          <w:sz w:val="20"/>
          <w:szCs w:val="20"/>
          <w:highlight w:val="none"/>
          <w:lang w:val="en-US" w:eastAsia="zh-CN" w:bidi="ar-SA"/>
        </w:rPr>
        <w:t>RAN4 Chair (Apple)</w:t>
      </w:r>
      <w:r>
        <w:rPr>
          <w:rFonts w:hint="eastAsia" w:ascii="Times New Roman" w:hAnsi="Times New Roman" w:eastAsia="宋体" w:cs="Times New Roman"/>
          <w:kern w:val="2"/>
          <w:sz w:val="20"/>
          <w:szCs w:val="20"/>
          <w:highlight w:val="none"/>
          <w:lang w:val="en-US" w:eastAsia="zh-CN" w:bidi="ar-SA"/>
        </w:rPr>
        <w:t>, Approved.</w:t>
      </w:r>
    </w:p>
    <w:p w14:paraId="4FC3BA5C">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highlight w:val="none"/>
          <w:shd w:val="clear" w:color="auto" w:fill="FFFFFF"/>
        </w:rPr>
      </w:pPr>
    </w:p>
    <w:bookmarkEnd w:id="5"/>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C1D62">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1">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48F65BF"/>
    <w:multiLevelType w:val="multilevel"/>
    <w:tmpl w:val="748F65BF"/>
    <w:lvl w:ilvl="0" w:tentative="0">
      <w:start w:val="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1A5"/>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2A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1CD"/>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711"/>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49F2"/>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98"/>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8AD"/>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B4"/>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336"/>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47E4"/>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B52"/>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4EDC"/>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5C6"/>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7C6"/>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53B"/>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ECA"/>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5BA2"/>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A87"/>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1F4523"/>
    <w:rsid w:val="01237C8B"/>
    <w:rsid w:val="012823DD"/>
    <w:rsid w:val="012A6A7A"/>
    <w:rsid w:val="012B6D59"/>
    <w:rsid w:val="013A4C94"/>
    <w:rsid w:val="01417D3E"/>
    <w:rsid w:val="01442D89"/>
    <w:rsid w:val="014F46AE"/>
    <w:rsid w:val="01522256"/>
    <w:rsid w:val="0153453C"/>
    <w:rsid w:val="01546AF8"/>
    <w:rsid w:val="01586859"/>
    <w:rsid w:val="01594895"/>
    <w:rsid w:val="015C06BF"/>
    <w:rsid w:val="015D0D5E"/>
    <w:rsid w:val="015D1618"/>
    <w:rsid w:val="015F18F2"/>
    <w:rsid w:val="015F5FA3"/>
    <w:rsid w:val="016800B9"/>
    <w:rsid w:val="017059E0"/>
    <w:rsid w:val="0171654A"/>
    <w:rsid w:val="01791D2E"/>
    <w:rsid w:val="017E3A14"/>
    <w:rsid w:val="01821D8F"/>
    <w:rsid w:val="01864D3B"/>
    <w:rsid w:val="01894542"/>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D80564"/>
    <w:rsid w:val="01DB6127"/>
    <w:rsid w:val="01E1598F"/>
    <w:rsid w:val="01E268ED"/>
    <w:rsid w:val="01E73907"/>
    <w:rsid w:val="01EB317B"/>
    <w:rsid w:val="01EB414A"/>
    <w:rsid w:val="01ED0229"/>
    <w:rsid w:val="01F17B19"/>
    <w:rsid w:val="01F219C7"/>
    <w:rsid w:val="01F33D9D"/>
    <w:rsid w:val="01F60577"/>
    <w:rsid w:val="01FD0759"/>
    <w:rsid w:val="01FD566D"/>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008C1"/>
    <w:rsid w:val="02532AA9"/>
    <w:rsid w:val="02571C51"/>
    <w:rsid w:val="025732DD"/>
    <w:rsid w:val="025C0F66"/>
    <w:rsid w:val="02601F6E"/>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5288F"/>
    <w:rsid w:val="02D634CE"/>
    <w:rsid w:val="02D63692"/>
    <w:rsid w:val="02D72CF0"/>
    <w:rsid w:val="02DB3978"/>
    <w:rsid w:val="02DC6BBC"/>
    <w:rsid w:val="02DE2EF8"/>
    <w:rsid w:val="02E3271D"/>
    <w:rsid w:val="02E929C0"/>
    <w:rsid w:val="02F573DC"/>
    <w:rsid w:val="02F95CD1"/>
    <w:rsid w:val="02FF1F3E"/>
    <w:rsid w:val="030005FD"/>
    <w:rsid w:val="03001C79"/>
    <w:rsid w:val="030150CB"/>
    <w:rsid w:val="030313BA"/>
    <w:rsid w:val="030575E0"/>
    <w:rsid w:val="030A5E0C"/>
    <w:rsid w:val="030E3D3C"/>
    <w:rsid w:val="03142F2C"/>
    <w:rsid w:val="0315569B"/>
    <w:rsid w:val="031712C4"/>
    <w:rsid w:val="03186045"/>
    <w:rsid w:val="031967AA"/>
    <w:rsid w:val="031A5DF1"/>
    <w:rsid w:val="031D6B51"/>
    <w:rsid w:val="031E0FAC"/>
    <w:rsid w:val="031E4C95"/>
    <w:rsid w:val="03251730"/>
    <w:rsid w:val="03260F70"/>
    <w:rsid w:val="03284E77"/>
    <w:rsid w:val="032907E2"/>
    <w:rsid w:val="03290A22"/>
    <w:rsid w:val="032C55B7"/>
    <w:rsid w:val="032E4DBB"/>
    <w:rsid w:val="032F672A"/>
    <w:rsid w:val="0332111E"/>
    <w:rsid w:val="03332CAE"/>
    <w:rsid w:val="03343BC7"/>
    <w:rsid w:val="033773F8"/>
    <w:rsid w:val="033D44BC"/>
    <w:rsid w:val="033F42EC"/>
    <w:rsid w:val="033F52A3"/>
    <w:rsid w:val="033F7E0C"/>
    <w:rsid w:val="03402EB3"/>
    <w:rsid w:val="03477E6F"/>
    <w:rsid w:val="034C342E"/>
    <w:rsid w:val="034E22DA"/>
    <w:rsid w:val="034E41AA"/>
    <w:rsid w:val="0354325C"/>
    <w:rsid w:val="035C4C68"/>
    <w:rsid w:val="035D2EB4"/>
    <w:rsid w:val="03651217"/>
    <w:rsid w:val="03687ADD"/>
    <w:rsid w:val="03696DA6"/>
    <w:rsid w:val="036A231E"/>
    <w:rsid w:val="037153A5"/>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07F28"/>
    <w:rsid w:val="03D2121B"/>
    <w:rsid w:val="03D26405"/>
    <w:rsid w:val="03D32BD3"/>
    <w:rsid w:val="03D4427A"/>
    <w:rsid w:val="03DA17B5"/>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2A0CA0"/>
    <w:rsid w:val="04343972"/>
    <w:rsid w:val="043711E5"/>
    <w:rsid w:val="04376B0F"/>
    <w:rsid w:val="04423926"/>
    <w:rsid w:val="0444143C"/>
    <w:rsid w:val="0444783F"/>
    <w:rsid w:val="04460072"/>
    <w:rsid w:val="044734BF"/>
    <w:rsid w:val="044753DC"/>
    <w:rsid w:val="044A0402"/>
    <w:rsid w:val="044E2BE0"/>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890110"/>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1F632A"/>
    <w:rsid w:val="052432F7"/>
    <w:rsid w:val="05280A89"/>
    <w:rsid w:val="052A278C"/>
    <w:rsid w:val="052D14A7"/>
    <w:rsid w:val="05367F8C"/>
    <w:rsid w:val="053C34DE"/>
    <w:rsid w:val="053E1AC2"/>
    <w:rsid w:val="053E2F60"/>
    <w:rsid w:val="053E6829"/>
    <w:rsid w:val="053F01C9"/>
    <w:rsid w:val="05403ABE"/>
    <w:rsid w:val="0545651B"/>
    <w:rsid w:val="05564384"/>
    <w:rsid w:val="05583DC1"/>
    <w:rsid w:val="055A77BF"/>
    <w:rsid w:val="055C5DB2"/>
    <w:rsid w:val="055C75CE"/>
    <w:rsid w:val="05631D30"/>
    <w:rsid w:val="05687505"/>
    <w:rsid w:val="056E233D"/>
    <w:rsid w:val="05734531"/>
    <w:rsid w:val="05784E56"/>
    <w:rsid w:val="057C7AAB"/>
    <w:rsid w:val="057E7581"/>
    <w:rsid w:val="057F0408"/>
    <w:rsid w:val="05804262"/>
    <w:rsid w:val="05816D10"/>
    <w:rsid w:val="058E6ED4"/>
    <w:rsid w:val="05930F73"/>
    <w:rsid w:val="05940F3F"/>
    <w:rsid w:val="059565ED"/>
    <w:rsid w:val="05991C8F"/>
    <w:rsid w:val="059C72DA"/>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872E9"/>
    <w:rsid w:val="05D9088E"/>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91410"/>
    <w:rsid w:val="063F20A9"/>
    <w:rsid w:val="064001EE"/>
    <w:rsid w:val="0646400E"/>
    <w:rsid w:val="06474EFD"/>
    <w:rsid w:val="064767A0"/>
    <w:rsid w:val="06493A8C"/>
    <w:rsid w:val="064A35EA"/>
    <w:rsid w:val="064B521E"/>
    <w:rsid w:val="064C2727"/>
    <w:rsid w:val="065345F9"/>
    <w:rsid w:val="065740AF"/>
    <w:rsid w:val="065A56A2"/>
    <w:rsid w:val="065E4C7F"/>
    <w:rsid w:val="066071A5"/>
    <w:rsid w:val="0665756F"/>
    <w:rsid w:val="066F6122"/>
    <w:rsid w:val="06735C62"/>
    <w:rsid w:val="067570AB"/>
    <w:rsid w:val="06776362"/>
    <w:rsid w:val="067B39B4"/>
    <w:rsid w:val="067D28AB"/>
    <w:rsid w:val="06805AC5"/>
    <w:rsid w:val="06836FEC"/>
    <w:rsid w:val="068523FB"/>
    <w:rsid w:val="06852909"/>
    <w:rsid w:val="0687062B"/>
    <w:rsid w:val="06891246"/>
    <w:rsid w:val="068A178F"/>
    <w:rsid w:val="068C6317"/>
    <w:rsid w:val="069B1966"/>
    <w:rsid w:val="06A04C65"/>
    <w:rsid w:val="06A22FF5"/>
    <w:rsid w:val="06A32A23"/>
    <w:rsid w:val="06A55EB9"/>
    <w:rsid w:val="06A739A2"/>
    <w:rsid w:val="06A74829"/>
    <w:rsid w:val="06AE0568"/>
    <w:rsid w:val="06AF116F"/>
    <w:rsid w:val="06B506C7"/>
    <w:rsid w:val="06B548E2"/>
    <w:rsid w:val="06BA7F49"/>
    <w:rsid w:val="06BB4F9D"/>
    <w:rsid w:val="06C07699"/>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C0D73"/>
    <w:rsid w:val="071D08AB"/>
    <w:rsid w:val="07220D76"/>
    <w:rsid w:val="07233462"/>
    <w:rsid w:val="072717DA"/>
    <w:rsid w:val="07277193"/>
    <w:rsid w:val="072B7E46"/>
    <w:rsid w:val="072F2139"/>
    <w:rsid w:val="07330557"/>
    <w:rsid w:val="073B285A"/>
    <w:rsid w:val="073F4D45"/>
    <w:rsid w:val="07420D70"/>
    <w:rsid w:val="07436058"/>
    <w:rsid w:val="074C6006"/>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12A"/>
    <w:rsid w:val="077B24B0"/>
    <w:rsid w:val="077F531B"/>
    <w:rsid w:val="077F542D"/>
    <w:rsid w:val="077F5D16"/>
    <w:rsid w:val="07817B19"/>
    <w:rsid w:val="07896FC7"/>
    <w:rsid w:val="078B062A"/>
    <w:rsid w:val="078E735B"/>
    <w:rsid w:val="07916BE4"/>
    <w:rsid w:val="079233D0"/>
    <w:rsid w:val="079E798A"/>
    <w:rsid w:val="07A20864"/>
    <w:rsid w:val="07A2728D"/>
    <w:rsid w:val="07A80D41"/>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5685B"/>
    <w:rsid w:val="07F6635B"/>
    <w:rsid w:val="07F70823"/>
    <w:rsid w:val="07F97CF9"/>
    <w:rsid w:val="0800676F"/>
    <w:rsid w:val="080511A2"/>
    <w:rsid w:val="08056749"/>
    <w:rsid w:val="080F4BCD"/>
    <w:rsid w:val="08171593"/>
    <w:rsid w:val="08204628"/>
    <w:rsid w:val="0827264B"/>
    <w:rsid w:val="082A0972"/>
    <w:rsid w:val="0835476E"/>
    <w:rsid w:val="083640B7"/>
    <w:rsid w:val="08367FC2"/>
    <w:rsid w:val="08391661"/>
    <w:rsid w:val="0839318B"/>
    <w:rsid w:val="083D6FDD"/>
    <w:rsid w:val="084E0029"/>
    <w:rsid w:val="084F213F"/>
    <w:rsid w:val="08514A4D"/>
    <w:rsid w:val="08550FFB"/>
    <w:rsid w:val="085B2B84"/>
    <w:rsid w:val="085B58CB"/>
    <w:rsid w:val="085B5CAA"/>
    <w:rsid w:val="085D6C7E"/>
    <w:rsid w:val="08611CAF"/>
    <w:rsid w:val="0865781A"/>
    <w:rsid w:val="0866133E"/>
    <w:rsid w:val="08692F64"/>
    <w:rsid w:val="08711D3A"/>
    <w:rsid w:val="087716A2"/>
    <w:rsid w:val="08780590"/>
    <w:rsid w:val="087E046C"/>
    <w:rsid w:val="087F635C"/>
    <w:rsid w:val="08813C88"/>
    <w:rsid w:val="08830C2D"/>
    <w:rsid w:val="08891D2A"/>
    <w:rsid w:val="088D794D"/>
    <w:rsid w:val="08934B1E"/>
    <w:rsid w:val="08942BDF"/>
    <w:rsid w:val="089538A4"/>
    <w:rsid w:val="08984272"/>
    <w:rsid w:val="089852F1"/>
    <w:rsid w:val="08990610"/>
    <w:rsid w:val="089B5449"/>
    <w:rsid w:val="089D6B7D"/>
    <w:rsid w:val="08A03B5E"/>
    <w:rsid w:val="08A275F2"/>
    <w:rsid w:val="08A954E5"/>
    <w:rsid w:val="08B21918"/>
    <w:rsid w:val="08B40442"/>
    <w:rsid w:val="08B94847"/>
    <w:rsid w:val="08BA69F7"/>
    <w:rsid w:val="08C14001"/>
    <w:rsid w:val="08C83275"/>
    <w:rsid w:val="08CE42EF"/>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21D41"/>
    <w:rsid w:val="096308E4"/>
    <w:rsid w:val="096913F9"/>
    <w:rsid w:val="096A6D80"/>
    <w:rsid w:val="096B649C"/>
    <w:rsid w:val="096D7093"/>
    <w:rsid w:val="096F18AA"/>
    <w:rsid w:val="096F1D52"/>
    <w:rsid w:val="09713F26"/>
    <w:rsid w:val="0972140E"/>
    <w:rsid w:val="097862A6"/>
    <w:rsid w:val="09793B17"/>
    <w:rsid w:val="09796C44"/>
    <w:rsid w:val="097A2EBF"/>
    <w:rsid w:val="097E4066"/>
    <w:rsid w:val="097E56C1"/>
    <w:rsid w:val="097F762B"/>
    <w:rsid w:val="098344BC"/>
    <w:rsid w:val="09846B33"/>
    <w:rsid w:val="098A1B59"/>
    <w:rsid w:val="098D22CE"/>
    <w:rsid w:val="098E0CC9"/>
    <w:rsid w:val="09902C37"/>
    <w:rsid w:val="09957BB0"/>
    <w:rsid w:val="09966BCD"/>
    <w:rsid w:val="09972599"/>
    <w:rsid w:val="099D065B"/>
    <w:rsid w:val="099D22A1"/>
    <w:rsid w:val="09A545D9"/>
    <w:rsid w:val="09A64698"/>
    <w:rsid w:val="09A9204A"/>
    <w:rsid w:val="09AC5074"/>
    <w:rsid w:val="09AD07F3"/>
    <w:rsid w:val="09B14A34"/>
    <w:rsid w:val="09B2573D"/>
    <w:rsid w:val="09B667D3"/>
    <w:rsid w:val="09B91042"/>
    <w:rsid w:val="09B959E5"/>
    <w:rsid w:val="09BA1421"/>
    <w:rsid w:val="09BA5647"/>
    <w:rsid w:val="09C346F5"/>
    <w:rsid w:val="09C65D3C"/>
    <w:rsid w:val="09CA65A4"/>
    <w:rsid w:val="09CC2A98"/>
    <w:rsid w:val="09CD34C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82368"/>
    <w:rsid w:val="0A3A0D5D"/>
    <w:rsid w:val="0A3E361F"/>
    <w:rsid w:val="0A436A63"/>
    <w:rsid w:val="0A446B70"/>
    <w:rsid w:val="0A4758B8"/>
    <w:rsid w:val="0A4B01C2"/>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28F7"/>
    <w:rsid w:val="0A9B6BF5"/>
    <w:rsid w:val="0A9E5B2C"/>
    <w:rsid w:val="0AA00730"/>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B2636"/>
    <w:rsid w:val="0AFB5144"/>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71F62"/>
    <w:rsid w:val="0B6A1817"/>
    <w:rsid w:val="0B6E5BD3"/>
    <w:rsid w:val="0B717521"/>
    <w:rsid w:val="0B8307A0"/>
    <w:rsid w:val="0B841D24"/>
    <w:rsid w:val="0B857CF5"/>
    <w:rsid w:val="0B884E90"/>
    <w:rsid w:val="0B892782"/>
    <w:rsid w:val="0B930E37"/>
    <w:rsid w:val="0B936E39"/>
    <w:rsid w:val="0B9538BE"/>
    <w:rsid w:val="0B980BE5"/>
    <w:rsid w:val="0B9B4AEA"/>
    <w:rsid w:val="0B9C0905"/>
    <w:rsid w:val="0B9E13B0"/>
    <w:rsid w:val="0BA50427"/>
    <w:rsid w:val="0BA92DF2"/>
    <w:rsid w:val="0BAA0B6D"/>
    <w:rsid w:val="0BB02C8B"/>
    <w:rsid w:val="0BB124BD"/>
    <w:rsid w:val="0BB2460A"/>
    <w:rsid w:val="0BB41A6B"/>
    <w:rsid w:val="0BB41CFB"/>
    <w:rsid w:val="0BB53F3C"/>
    <w:rsid w:val="0BC00376"/>
    <w:rsid w:val="0BC739F0"/>
    <w:rsid w:val="0BD21910"/>
    <w:rsid w:val="0BD44D1D"/>
    <w:rsid w:val="0BD5663D"/>
    <w:rsid w:val="0BDA3782"/>
    <w:rsid w:val="0BDB5584"/>
    <w:rsid w:val="0BE0026A"/>
    <w:rsid w:val="0BE03DAA"/>
    <w:rsid w:val="0BE17727"/>
    <w:rsid w:val="0BEC55E4"/>
    <w:rsid w:val="0BF028A5"/>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03756"/>
    <w:rsid w:val="0C455380"/>
    <w:rsid w:val="0C4801A4"/>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E263F"/>
    <w:rsid w:val="0CA1546A"/>
    <w:rsid w:val="0CA4660D"/>
    <w:rsid w:val="0CA46672"/>
    <w:rsid w:val="0CA92BAC"/>
    <w:rsid w:val="0CAA1934"/>
    <w:rsid w:val="0CB02A2E"/>
    <w:rsid w:val="0CB07BBB"/>
    <w:rsid w:val="0CB176C1"/>
    <w:rsid w:val="0CB471A1"/>
    <w:rsid w:val="0CB90F2E"/>
    <w:rsid w:val="0CBB5A0F"/>
    <w:rsid w:val="0CCB3700"/>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8498F"/>
    <w:rsid w:val="0D0A1D55"/>
    <w:rsid w:val="0D0F2DCE"/>
    <w:rsid w:val="0D136EF9"/>
    <w:rsid w:val="0D182A28"/>
    <w:rsid w:val="0D1A52C8"/>
    <w:rsid w:val="0D1C1D16"/>
    <w:rsid w:val="0D21615D"/>
    <w:rsid w:val="0D2454BF"/>
    <w:rsid w:val="0D252BC4"/>
    <w:rsid w:val="0D2767B5"/>
    <w:rsid w:val="0D3E327E"/>
    <w:rsid w:val="0D3E50C9"/>
    <w:rsid w:val="0D404B09"/>
    <w:rsid w:val="0D432A3E"/>
    <w:rsid w:val="0D480AA9"/>
    <w:rsid w:val="0D484685"/>
    <w:rsid w:val="0D4940E8"/>
    <w:rsid w:val="0D4D56D6"/>
    <w:rsid w:val="0D5800C7"/>
    <w:rsid w:val="0D59622F"/>
    <w:rsid w:val="0D5B6E86"/>
    <w:rsid w:val="0D5E28E8"/>
    <w:rsid w:val="0D5F347D"/>
    <w:rsid w:val="0D604B9B"/>
    <w:rsid w:val="0D63712E"/>
    <w:rsid w:val="0D647BCA"/>
    <w:rsid w:val="0D6A353C"/>
    <w:rsid w:val="0D771AFB"/>
    <w:rsid w:val="0D7969D7"/>
    <w:rsid w:val="0D826C81"/>
    <w:rsid w:val="0D845BD8"/>
    <w:rsid w:val="0D8F1433"/>
    <w:rsid w:val="0D904522"/>
    <w:rsid w:val="0D905E81"/>
    <w:rsid w:val="0D935B07"/>
    <w:rsid w:val="0D972438"/>
    <w:rsid w:val="0D976014"/>
    <w:rsid w:val="0DA060E8"/>
    <w:rsid w:val="0DA21DEB"/>
    <w:rsid w:val="0DA57AAE"/>
    <w:rsid w:val="0DA67711"/>
    <w:rsid w:val="0DB44F15"/>
    <w:rsid w:val="0DB461AA"/>
    <w:rsid w:val="0DB51551"/>
    <w:rsid w:val="0DB73718"/>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26BBF"/>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C42D5"/>
    <w:rsid w:val="0E4D4B22"/>
    <w:rsid w:val="0E5A04BE"/>
    <w:rsid w:val="0E5D717C"/>
    <w:rsid w:val="0E5E2B07"/>
    <w:rsid w:val="0E6A0F47"/>
    <w:rsid w:val="0E6A1721"/>
    <w:rsid w:val="0E7454FD"/>
    <w:rsid w:val="0E752596"/>
    <w:rsid w:val="0E762BA4"/>
    <w:rsid w:val="0E771E51"/>
    <w:rsid w:val="0E796EA0"/>
    <w:rsid w:val="0E7A2A61"/>
    <w:rsid w:val="0E7C0762"/>
    <w:rsid w:val="0E7F3AAA"/>
    <w:rsid w:val="0E8036B3"/>
    <w:rsid w:val="0E8118C0"/>
    <w:rsid w:val="0E8164AD"/>
    <w:rsid w:val="0E894FFB"/>
    <w:rsid w:val="0E9A17E3"/>
    <w:rsid w:val="0EA11114"/>
    <w:rsid w:val="0EA35AC0"/>
    <w:rsid w:val="0EAA30A8"/>
    <w:rsid w:val="0EB11C1A"/>
    <w:rsid w:val="0EB34961"/>
    <w:rsid w:val="0EB9447E"/>
    <w:rsid w:val="0EC11B24"/>
    <w:rsid w:val="0EC172B8"/>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3E3F14"/>
    <w:rsid w:val="0F424B0B"/>
    <w:rsid w:val="0F447297"/>
    <w:rsid w:val="0F455F85"/>
    <w:rsid w:val="0F47212B"/>
    <w:rsid w:val="0F493907"/>
    <w:rsid w:val="0F49564D"/>
    <w:rsid w:val="0F4D1918"/>
    <w:rsid w:val="0F502C70"/>
    <w:rsid w:val="0F5075AE"/>
    <w:rsid w:val="0F521719"/>
    <w:rsid w:val="0F571705"/>
    <w:rsid w:val="0F584757"/>
    <w:rsid w:val="0F5A43B1"/>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10A42"/>
    <w:rsid w:val="0FB22A42"/>
    <w:rsid w:val="0FB261C9"/>
    <w:rsid w:val="0FB31343"/>
    <w:rsid w:val="0FB714C3"/>
    <w:rsid w:val="0FBD0C1A"/>
    <w:rsid w:val="0FC12836"/>
    <w:rsid w:val="0FC427AC"/>
    <w:rsid w:val="0FD0665C"/>
    <w:rsid w:val="0FD27C3A"/>
    <w:rsid w:val="0FD95333"/>
    <w:rsid w:val="0FDD44E9"/>
    <w:rsid w:val="0FE0698F"/>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160EB"/>
    <w:rsid w:val="10836F99"/>
    <w:rsid w:val="10860642"/>
    <w:rsid w:val="10886883"/>
    <w:rsid w:val="108A2129"/>
    <w:rsid w:val="10900CC5"/>
    <w:rsid w:val="10924B2D"/>
    <w:rsid w:val="10953B42"/>
    <w:rsid w:val="109755DE"/>
    <w:rsid w:val="10985249"/>
    <w:rsid w:val="10A12DB1"/>
    <w:rsid w:val="10A87B1C"/>
    <w:rsid w:val="10B4235C"/>
    <w:rsid w:val="10B7486E"/>
    <w:rsid w:val="10BD429D"/>
    <w:rsid w:val="10BF747D"/>
    <w:rsid w:val="10C85160"/>
    <w:rsid w:val="10CC5735"/>
    <w:rsid w:val="10D679E0"/>
    <w:rsid w:val="10DA43D7"/>
    <w:rsid w:val="10DF786B"/>
    <w:rsid w:val="10E2101B"/>
    <w:rsid w:val="10E43C3F"/>
    <w:rsid w:val="10E719A1"/>
    <w:rsid w:val="10EC75B1"/>
    <w:rsid w:val="10F33CC1"/>
    <w:rsid w:val="10FA45D2"/>
    <w:rsid w:val="10FD6E37"/>
    <w:rsid w:val="11024527"/>
    <w:rsid w:val="110A4489"/>
    <w:rsid w:val="11150F62"/>
    <w:rsid w:val="11180C80"/>
    <w:rsid w:val="11192C45"/>
    <w:rsid w:val="111A28E5"/>
    <w:rsid w:val="111D0087"/>
    <w:rsid w:val="111D46E5"/>
    <w:rsid w:val="111E393A"/>
    <w:rsid w:val="111E5679"/>
    <w:rsid w:val="112526B4"/>
    <w:rsid w:val="11280A27"/>
    <w:rsid w:val="112F54D2"/>
    <w:rsid w:val="1133321C"/>
    <w:rsid w:val="11377169"/>
    <w:rsid w:val="113B291C"/>
    <w:rsid w:val="11457D8C"/>
    <w:rsid w:val="11461F96"/>
    <w:rsid w:val="114A2AEE"/>
    <w:rsid w:val="114C3CA8"/>
    <w:rsid w:val="114D3A1D"/>
    <w:rsid w:val="115460D7"/>
    <w:rsid w:val="11562BF2"/>
    <w:rsid w:val="11576536"/>
    <w:rsid w:val="115806FA"/>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7501A"/>
    <w:rsid w:val="11991A6B"/>
    <w:rsid w:val="11996649"/>
    <w:rsid w:val="119C152C"/>
    <w:rsid w:val="119E771A"/>
    <w:rsid w:val="119F6FD9"/>
    <w:rsid w:val="11A030A8"/>
    <w:rsid w:val="11AA61BD"/>
    <w:rsid w:val="11AB222F"/>
    <w:rsid w:val="11AC7561"/>
    <w:rsid w:val="11AE6531"/>
    <w:rsid w:val="11AF439E"/>
    <w:rsid w:val="11B50817"/>
    <w:rsid w:val="11B52CFA"/>
    <w:rsid w:val="11B66269"/>
    <w:rsid w:val="11B85B3D"/>
    <w:rsid w:val="11BA0839"/>
    <w:rsid w:val="11BE25B0"/>
    <w:rsid w:val="11BF1C0B"/>
    <w:rsid w:val="11C05F8A"/>
    <w:rsid w:val="11C10E95"/>
    <w:rsid w:val="11C615C5"/>
    <w:rsid w:val="11CA3974"/>
    <w:rsid w:val="11CA68E9"/>
    <w:rsid w:val="11CD6196"/>
    <w:rsid w:val="11CE5360"/>
    <w:rsid w:val="11D96062"/>
    <w:rsid w:val="11DD7754"/>
    <w:rsid w:val="11E4369D"/>
    <w:rsid w:val="11EA6B41"/>
    <w:rsid w:val="11EE4F27"/>
    <w:rsid w:val="11F0307F"/>
    <w:rsid w:val="11F267E8"/>
    <w:rsid w:val="11F427FC"/>
    <w:rsid w:val="11FA2D7A"/>
    <w:rsid w:val="12026F8A"/>
    <w:rsid w:val="120441CC"/>
    <w:rsid w:val="12066C25"/>
    <w:rsid w:val="120C3B45"/>
    <w:rsid w:val="120E21AB"/>
    <w:rsid w:val="12103122"/>
    <w:rsid w:val="1210456D"/>
    <w:rsid w:val="12134828"/>
    <w:rsid w:val="12143598"/>
    <w:rsid w:val="12166EF4"/>
    <w:rsid w:val="121729B6"/>
    <w:rsid w:val="12205406"/>
    <w:rsid w:val="1220610B"/>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4AD7"/>
    <w:rsid w:val="12DD694C"/>
    <w:rsid w:val="12DF0C5E"/>
    <w:rsid w:val="12E302DA"/>
    <w:rsid w:val="12E50BB3"/>
    <w:rsid w:val="12EC215C"/>
    <w:rsid w:val="12EE6AFD"/>
    <w:rsid w:val="12F538D3"/>
    <w:rsid w:val="12F85F0D"/>
    <w:rsid w:val="12F97513"/>
    <w:rsid w:val="12FA6C0E"/>
    <w:rsid w:val="12FB2185"/>
    <w:rsid w:val="12FB7F3D"/>
    <w:rsid w:val="13005DFD"/>
    <w:rsid w:val="13017E6E"/>
    <w:rsid w:val="130611C7"/>
    <w:rsid w:val="1306326A"/>
    <w:rsid w:val="130C7624"/>
    <w:rsid w:val="130D7CA1"/>
    <w:rsid w:val="131046DE"/>
    <w:rsid w:val="1315321C"/>
    <w:rsid w:val="13172F98"/>
    <w:rsid w:val="13180CBE"/>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C11BF"/>
    <w:rsid w:val="135F5E4E"/>
    <w:rsid w:val="13712447"/>
    <w:rsid w:val="1377654A"/>
    <w:rsid w:val="137D1A4D"/>
    <w:rsid w:val="137E3987"/>
    <w:rsid w:val="137F1B10"/>
    <w:rsid w:val="137F4E27"/>
    <w:rsid w:val="1382164E"/>
    <w:rsid w:val="13833EEA"/>
    <w:rsid w:val="13853547"/>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A4F04"/>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31E6D"/>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44C48"/>
    <w:rsid w:val="14A75504"/>
    <w:rsid w:val="14A82A63"/>
    <w:rsid w:val="14A86EA4"/>
    <w:rsid w:val="14AC358C"/>
    <w:rsid w:val="14AD2764"/>
    <w:rsid w:val="14AD3314"/>
    <w:rsid w:val="14B16888"/>
    <w:rsid w:val="14B227CC"/>
    <w:rsid w:val="14B76730"/>
    <w:rsid w:val="14C42DC7"/>
    <w:rsid w:val="14C767C8"/>
    <w:rsid w:val="14CF0ADE"/>
    <w:rsid w:val="14D0185B"/>
    <w:rsid w:val="14DC523B"/>
    <w:rsid w:val="14DE753E"/>
    <w:rsid w:val="14E64628"/>
    <w:rsid w:val="14E81AD4"/>
    <w:rsid w:val="14ED47D8"/>
    <w:rsid w:val="14F16663"/>
    <w:rsid w:val="14F37724"/>
    <w:rsid w:val="14F51028"/>
    <w:rsid w:val="14F549EC"/>
    <w:rsid w:val="14F92549"/>
    <w:rsid w:val="14FB4950"/>
    <w:rsid w:val="14FD0138"/>
    <w:rsid w:val="14FD4800"/>
    <w:rsid w:val="14FD4CB2"/>
    <w:rsid w:val="14FE45D8"/>
    <w:rsid w:val="14FE6347"/>
    <w:rsid w:val="150650CB"/>
    <w:rsid w:val="150E6B8B"/>
    <w:rsid w:val="151450E0"/>
    <w:rsid w:val="15147EEB"/>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3C0A"/>
    <w:rsid w:val="154D4A84"/>
    <w:rsid w:val="155424D6"/>
    <w:rsid w:val="155605E9"/>
    <w:rsid w:val="155A2346"/>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8F56E6"/>
    <w:rsid w:val="159332D7"/>
    <w:rsid w:val="15940459"/>
    <w:rsid w:val="159669D6"/>
    <w:rsid w:val="159859F4"/>
    <w:rsid w:val="159E329B"/>
    <w:rsid w:val="15A52574"/>
    <w:rsid w:val="15A80FDC"/>
    <w:rsid w:val="15AA7A19"/>
    <w:rsid w:val="15AC5259"/>
    <w:rsid w:val="15AE02B1"/>
    <w:rsid w:val="15AE46FA"/>
    <w:rsid w:val="15AE5475"/>
    <w:rsid w:val="15B06B12"/>
    <w:rsid w:val="15B21729"/>
    <w:rsid w:val="15B30B8E"/>
    <w:rsid w:val="15B75136"/>
    <w:rsid w:val="15BE3D9D"/>
    <w:rsid w:val="15C02C76"/>
    <w:rsid w:val="15C22DC5"/>
    <w:rsid w:val="15C4476E"/>
    <w:rsid w:val="15C61DCD"/>
    <w:rsid w:val="15D4474D"/>
    <w:rsid w:val="15D7597F"/>
    <w:rsid w:val="15E32BB5"/>
    <w:rsid w:val="15E35542"/>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75208"/>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2730B"/>
    <w:rsid w:val="16853FE3"/>
    <w:rsid w:val="168A3277"/>
    <w:rsid w:val="168F5C07"/>
    <w:rsid w:val="16942646"/>
    <w:rsid w:val="1695742C"/>
    <w:rsid w:val="169D1595"/>
    <w:rsid w:val="169E2FAE"/>
    <w:rsid w:val="169F49C0"/>
    <w:rsid w:val="16A65B92"/>
    <w:rsid w:val="16AA56E3"/>
    <w:rsid w:val="16AC6E85"/>
    <w:rsid w:val="16AD0A57"/>
    <w:rsid w:val="16B93A37"/>
    <w:rsid w:val="16BA18A0"/>
    <w:rsid w:val="16BA7C07"/>
    <w:rsid w:val="16BD160C"/>
    <w:rsid w:val="16BE109A"/>
    <w:rsid w:val="16C066C7"/>
    <w:rsid w:val="16C2724F"/>
    <w:rsid w:val="16C41FCF"/>
    <w:rsid w:val="16C455CB"/>
    <w:rsid w:val="16C52518"/>
    <w:rsid w:val="16D10416"/>
    <w:rsid w:val="16D359B1"/>
    <w:rsid w:val="16D550B0"/>
    <w:rsid w:val="16DC6856"/>
    <w:rsid w:val="16DD48E9"/>
    <w:rsid w:val="16DF5613"/>
    <w:rsid w:val="16E7220A"/>
    <w:rsid w:val="16ED5C2D"/>
    <w:rsid w:val="16F7773E"/>
    <w:rsid w:val="16F94056"/>
    <w:rsid w:val="16FA2883"/>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3F0C07"/>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97951"/>
    <w:rsid w:val="17AA5FE0"/>
    <w:rsid w:val="17AF1790"/>
    <w:rsid w:val="17B274A5"/>
    <w:rsid w:val="17B6063D"/>
    <w:rsid w:val="17B74C8C"/>
    <w:rsid w:val="17B83B56"/>
    <w:rsid w:val="17B87C8B"/>
    <w:rsid w:val="17B92DFC"/>
    <w:rsid w:val="17BA1E1D"/>
    <w:rsid w:val="17BA48D6"/>
    <w:rsid w:val="17BC33B5"/>
    <w:rsid w:val="17C0378A"/>
    <w:rsid w:val="17C535A1"/>
    <w:rsid w:val="17CA313C"/>
    <w:rsid w:val="17CA481C"/>
    <w:rsid w:val="17CC1D1C"/>
    <w:rsid w:val="17CD5EE0"/>
    <w:rsid w:val="17D336D0"/>
    <w:rsid w:val="17D363F7"/>
    <w:rsid w:val="17D47D7C"/>
    <w:rsid w:val="17D77660"/>
    <w:rsid w:val="17D77CA7"/>
    <w:rsid w:val="17DD34AB"/>
    <w:rsid w:val="17EB0C0D"/>
    <w:rsid w:val="17ED2085"/>
    <w:rsid w:val="17ED6E2E"/>
    <w:rsid w:val="17EE010A"/>
    <w:rsid w:val="17F04282"/>
    <w:rsid w:val="17F223D1"/>
    <w:rsid w:val="17F55D04"/>
    <w:rsid w:val="17FB3B07"/>
    <w:rsid w:val="17FC272C"/>
    <w:rsid w:val="17FE0B0A"/>
    <w:rsid w:val="17FE0C9F"/>
    <w:rsid w:val="17FE0E1E"/>
    <w:rsid w:val="17FE53A1"/>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447AF"/>
    <w:rsid w:val="187640ED"/>
    <w:rsid w:val="18804AA7"/>
    <w:rsid w:val="18850ACD"/>
    <w:rsid w:val="188C347D"/>
    <w:rsid w:val="188C4F53"/>
    <w:rsid w:val="188C538D"/>
    <w:rsid w:val="18A16B9A"/>
    <w:rsid w:val="18A5427C"/>
    <w:rsid w:val="18A66F56"/>
    <w:rsid w:val="18A94FC3"/>
    <w:rsid w:val="18AA0A31"/>
    <w:rsid w:val="18AB1905"/>
    <w:rsid w:val="18AB2FAA"/>
    <w:rsid w:val="18AC724D"/>
    <w:rsid w:val="18AF5199"/>
    <w:rsid w:val="18AF7C5B"/>
    <w:rsid w:val="18B417E1"/>
    <w:rsid w:val="18B61C67"/>
    <w:rsid w:val="18C0323C"/>
    <w:rsid w:val="18C9246D"/>
    <w:rsid w:val="18C96881"/>
    <w:rsid w:val="18CC589D"/>
    <w:rsid w:val="18CC75E7"/>
    <w:rsid w:val="18CF7D05"/>
    <w:rsid w:val="18D979C0"/>
    <w:rsid w:val="18DE1E44"/>
    <w:rsid w:val="18DE5861"/>
    <w:rsid w:val="18DF497D"/>
    <w:rsid w:val="18DF766E"/>
    <w:rsid w:val="18E67034"/>
    <w:rsid w:val="18E73CC5"/>
    <w:rsid w:val="18E872D7"/>
    <w:rsid w:val="18E921AF"/>
    <w:rsid w:val="18EA68A3"/>
    <w:rsid w:val="18F06558"/>
    <w:rsid w:val="18F3471F"/>
    <w:rsid w:val="18F40581"/>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B2C0A"/>
    <w:rsid w:val="194B43FA"/>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9D0EA7"/>
    <w:rsid w:val="19A16661"/>
    <w:rsid w:val="19A33264"/>
    <w:rsid w:val="19A7296F"/>
    <w:rsid w:val="19AF232D"/>
    <w:rsid w:val="19B94DE5"/>
    <w:rsid w:val="19BB7983"/>
    <w:rsid w:val="19CA4702"/>
    <w:rsid w:val="19D01D27"/>
    <w:rsid w:val="19D10D95"/>
    <w:rsid w:val="19D76F77"/>
    <w:rsid w:val="19D77386"/>
    <w:rsid w:val="19DC3901"/>
    <w:rsid w:val="19DE7440"/>
    <w:rsid w:val="19E33778"/>
    <w:rsid w:val="19E45BB3"/>
    <w:rsid w:val="19ED386F"/>
    <w:rsid w:val="19F90091"/>
    <w:rsid w:val="19F91F18"/>
    <w:rsid w:val="19FF1298"/>
    <w:rsid w:val="1A03072C"/>
    <w:rsid w:val="1A045B87"/>
    <w:rsid w:val="1A0870CE"/>
    <w:rsid w:val="1A1F1382"/>
    <w:rsid w:val="1A203F61"/>
    <w:rsid w:val="1A210157"/>
    <w:rsid w:val="1A2364A1"/>
    <w:rsid w:val="1A2C794C"/>
    <w:rsid w:val="1A312F8F"/>
    <w:rsid w:val="1A365F00"/>
    <w:rsid w:val="1A402130"/>
    <w:rsid w:val="1A484A02"/>
    <w:rsid w:val="1A4D1CE1"/>
    <w:rsid w:val="1A4E78B6"/>
    <w:rsid w:val="1A521E89"/>
    <w:rsid w:val="1A5403CD"/>
    <w:rsid w:val="1A542FA2"/>
    <w:rsid w:val="1A5571F4"/>
    <w:rsid w:val="1A5760FC"/>
    <w:rsid w:val="1A5945FD"/>
    <w:rsid w:val="1A5B0C0F"/>
    <w:rsid w:val="1A5F0B2B"/>
    <w:rsid w:val="1A5F2F04"/>
    <w:rsid w:val="1A5F7253"/>
    <w:rsid w:val="1A620757"/>
    <w:rsid w:val="1A6A0EEA"/>
    <w:rsid w:val="1A6B64C2"/>
    <w:rsid w:val="1A6D22C8"/>
    <w:rsid w:val="1A6E6393"/>
    <w:rsid w:val="1A6F5AC3"/>
    <w:rsid w:val="1A725418"/>
    <w:rsid w:val="1A79037D"/>
    <w:rsid w:val="1A7A2EF9"/>
    <w:rsid w:val="1A7C1CC2"/>
    <w:rsid w:val="1A7E4215"/>
    <w:rsid w:val="1A7F4EDC"/>
    <w:rsid w:val="1A813E2C"/>
    <w:rsid w:val="1A84670E"/>
    <w:rsid w:val="1A8506F7"/>
    <w:rsid w:val="1A862267"/>
    <w:rsid w:val="1A89437E"/>
    <w:rsid w:val="1A8F2FDB"/>
    <w:rsid w:val="1A960E81"/>
    <w:rsid w:val="1A972C69"/>
    <w:rsid w:val="1A98650B"/>
    <w:rsid w:val="1A996FC3"/>
    <w:rsid w:val="1A9A0C93"/>
    <w:rsid w:val="1A9A12C1"/>
    <w:rsid w:val="1AAB7A25"/>
    <w:rsid w:val="1AB02AE4"/>
    <w:rsid w:val="1AB359A1"/>
    <w:rsid w:val="1AB42A19"/>
    <w:rsid w:val="1AB6035E"/>
    <w:rsid w:val="1ABD31B9"/>
    <w:rsid w:val="1ABF3A95"/>
    <w:rsid w:val="1AC20F7A"/>
    <w:rsid w:val="1AC91D4C"/>
    <w:rsid w:val="1ACD2E18"/>
    <w:rsid w:val="1ACE2A77"/>
    <w:rsid w:val="1ACE6E77"/>
    <w:rsid w:val="1ACE6F1E"/>
    <w:rsid w:val="1AD03069"/>
    <w:rsid w:val="1AD55B02"/>
    <w:rsid w:val="1AD71252"/>
    <w:rsid w:val="1AD972F0"/>
    <w:rsid w:val="1ADA0E77"/>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24510"/>
    <w:rsid w:val="1B1613A0"/>
    <w:rsid w:val="1B1F0398"/>
    <w:rsid w:val="1B1F30D9"/>
    <w:rsid w:val="1B201FE4"/>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6720E"/>
    <w:rsid w:val="1B7906CE"/>
    <w:rsid w:val="1B791F56"/>
    <w:rsid w:val="1B7A6C9A"/>
    <w:rsid w:val="1B7D07F3"/>
    <w:rsid w:val="1B826E63"/>
    <w:rsid w:val="1B831B2B"/>
    <w:rsid w:val="1B853A57"/>
    <w:rsid w:val="1B9219EE"/>
    <w:rsid w:val="1B9307F8"/>
    <w:rsid w:val="1B944685"/>
    <w:rsid w:val="1B945678"/>
    <w:rsid w:val="1B951DCE"/>
    <w:rsid w:val="1B9B3AD0"/>
    <w:rsid w:val="1B9D7F18"/>
    <w:rsid w:val="1BA075C9"/>
    <w:rsid w:val="1BA258AE"/>
    <w:rsid w:val="1BA57F07"/>
    <w:rsid w:val="1BAA3905"/>
    <w:rsid w:val="1BAE60D9"/>
    <w:rsid w:val="1BB01F6E"/>
    <w:rsid w:val="1BB31994"/>
    <w:rsid w:val="1BB64899"/>
    <w:rsid w:val="1BB81DD8"/>
    <w:rsid w:val="1BB848C7"/>
    <w:rsid w:val="1BB86F3A"/>
    <w:rsid w:val="1BC85001"/>
    <w:rsid w:val="1BCA7505"/>
    <w:rsid w:val="1BD25A4D"/>
    <w:rsid w:val="1BD62163"/>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32436"/>
    <w:rsid w:val="1C6A0B2D"/>
    <w:rsid w:val="1C6D07BF"/>
    <w:rsid w:val="1C6D4144"/>
    <w:rsid w:val="1C726EC3"/>
    <w:rsid w:val="1C790574"/>
    <w:rsid w:val="1C793EB9"/>
    <w:rsid w:val="1C7B65E1"/>
    <w:rsid w:val="1C807142"/>
    <w:rsid w:val="1C90266F"/>
    <w:rsid w:val="1C9A166E"/>
    <w:rsid w:val="1C9C48A7"/>
    <w:rsid w:val="1CA16CCE"/>
    <w:rsid w:val="1CA51528"/>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550D1"/>
    <w:rsid w:val="1D3E3364"/>
    <w:rsid w:val="1D41310E"/>
    <w:rsid w:val="1D457CE9"/>
    <w:rsid w:val="1D4969F4"/>
    <w:rsid w:val="1D4C117F"/>
    <w:rsid w:val="1D513E68"/>
    <w:rsid w:val="1D54121E"/>
    <w:rsid w:val="1D553E39"/>
    <w:rsid w:val="1D561B4E"/>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D12460"/>
    <w:rsid w:val="1DE55F0B"/>
    <w:rsid w:val="1DEC45ED"/>
    <w:rsid w:val="1DF2745E"/>
    <w:rsid w:val="1DF71982"/>
    <w:rsid w:val="1DF8498F"/>
    <w:rsid w:val="1DFC4095"/>
    <w:rsid w:val="1E02615D"/>
    <w:rsid w:val="1E093D7D"/>
    <w:rsid w:val="1E110AAE"/>
    <w:rsid w:val="1E143B97"/>
    <w:rsid w:val="1E183872"/>
    <w:rsid w:val="1E1D7E95"/>
    <w:rsid w:val="1E201A27"/>
    <w:rsid w:val="1E224747"/>
    <w:rsid w:val="1E2B2F2B"/>
    <w:rsid w:val="1E2C2585"/>
    <w:rsid w:val="1E304B88"/>
    <w:rsid w:val="1E377B48"/>
    <w:rsid w:val="1E3E02E7"/>
    <w:rsid w:val="1E3E2F64"/>
    <w:rsid w:val="1E4013D0"/>
    <w:rsid w:val="1E4160E0"/>
    <w:rsid w:val="1E5144D2"/>
    <w:rsid w:val="1E5800FB"/>
    <w:rsid w:val="1E5E7A6C"/>
    <w:rsid w:val="1E623922"/>
    <w:rsid w:val="1E6703B7"/>
    <w:rsid w:val="1E680B85"/>
    <w:rsid w:val="1E6B2336"/>
    <w:rsid w:val="1E712925"/>
    <w:rsid w:val="1E7845CD"/>
    <w:rsid w:val="1E8028A0"/>
    <w:rsid w:val="1E8261B5"/>
    <w:rsid w:val="1E8B032D"/>
    <w:rsid w:val="1E8B7AD0"/>
    <w:rsid w:val="1E8D5200"/>
    <w:rsid w:val="1E8E3E30"/>
    <w:rsid w:val="1E9D2018"/>
    <w:rsid w:val="1E9D35F0"/>
    <w:rsid w:val="1E9D4737"/>
    <w:rsid w:val="1E9D55A8"/>
    <w:rsid w:val="1EA11D29"/>
    <w:rsid w:val="1EA13E87"/>
    <w:rsid w:val="1EA53D75"/>
    <w:rsid w:val="1EA73541"/>
    <w:rsid w:val="1EAF4E87"/>
    <w:rsid w:val="1EB00660"/>
    <w:rsid w:val="1EB4235B"/>
    <w:rsid w:val="1EB50D64"/>
    <w:rsid w:val="1EB774F1"/>
    <w:rsid w:val="1EBA43DC"/>
    <w:rsid w:val="1EBB42B0"/>
    <w:rsid w:val="1EBF5044"/>
    <w:rsid w:val="1EC11B39"/>
    <w:rsid w:val="1EC80437"/>
    <w:rsid w:val="1EC9295D"/>
    <w:rsid w:val="1ECC2C27"/>
    <w:rsid w:val="1ECE2025"/>
    <w:rsid w:val="1ED15DFD"/>
    <w:rsid w:val="1ED509F1"/>
    <w:rsid w:val="1ED81409"/>
    <w:rsid w:val="1ED874EC"/>
    <w:rsid w:val="1ED94E25"/>
    <w:rsid w:val="1EDA5D30"/>
    <w:rsid w:val="1EDB6C5F"/>
    <w:rsid w:val="1EDF44F4"/>
    <w:rsid w:val="1EE25AF1"/>
    <w:rsid w:val="1EE36B24"/>
    <w:rsid w:val="1EE4433F"/>
    <w:rsid w:val="1EE552C9"/>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5174F6"/>
    <w:rsid w:val="1F5220A3"/>
    <w:rsid w:val="1F5324C1"/>
    <w:rsid w:val="1F561E2A"/>
    <w:rsid w:val="1F596CDF"/>
    <w:rsid w:val="1F5E088A"/>
    <w:rsid w:val="1F5F1E2B"/>
    <w:rsid w:val="1F645272"/>
    <w:rsid w:val="1F661994"/>
    <w:rsid w:val="1F666BD8"/>
    <w:rsid w:val="1F672A0E"/>
    <w:rsid w:val="1F6833F6"/>
    <w:rsid w:val="1F68659A"/>
    <w:rsid w:val="1F6C7746"/>
    <w:rsid w:val="1F7756A5"/>
    <w:rsid w:val="1F7959F4"/>
    <w:rsid w:val="1F7C19E4"/>
    <w:rsid w:val="1F83562C"/>
    <w:rsid w:val="1F88428B"/>
    <w:rsid w:val="1F8A5F10"/>
    <w:rsid w:val="1F947917"/>
    <w:rsid w:val="1F952318"/>
    <w:rsid w:val="1F9F7E3B"/>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468DA"/>
    <w:rsid w:val="1FF82D26"/>
    <w:rsid w:val="2000119F"/>
    <w:rsid w:val="20007200"/>
    <w:rsid w:val="20023827"/>
    <w:rsid w:val="200308CB"/>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5491A"/>
    <w:rsid w:val="205A627C"/>
    <w:rsid w:val="206301A7"/>
    <w:rsid w:val="20642E89"/>
    <w:rsid w:val="2067334B"/>
    <w:rsid w:val="206D3F96"/>
    <w:rsid w:val="206D7380"/>
    <w:rsid w:val="206F7CD5"/>
    <w:rsid w:val="2070080A"/>
    <w:rsid w:val="20711CD8"/>
    <w:rsid w:val="207778B9"/>
    <w:rsid w:val="207A2037"/>
    <w:rsid w:val="207E34E5"/>
    <w:rsid w:val="20850EC1"/>
    <w:rsid w:val="208C6AE1"/>
    <w:rsid w:val="20911227"/>
    <w:rsid w:val="20934FE0"/>
    <w:rsid w:val="209511C3"/>
    <w:rsid w:val="209A17A4"/>
    <w:rsid w:val="209D76E0"/>
    <w:rsid w:val="209E715A"/>
    <w:rsid w:val="20A70ABE"/>
    <w:rsid w:val="20AC38F6"/>
    <w:rsid w:val="20AF45AF"/>
    <w:rsid w:val="20B45212"/>
    <w:rsid w:val="20B836F9"/>
    <w:rsid w:val="20BB2F53"/>
    <w:rsid w:val="20BD741D"/>
    <w:rsid w:val="20BF422E"/>
    <w:rsid w:val="20C10077"/>
    <w:rsid w:val="20C261C8"/>
    <w:rsid w:val="20C37A68"/>
    <w:rsid w:val="20C96FD1"/>
    <w:rsid w:val="20CC2666"/>
    <w:rsid w:val="20CE4C2F"/>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67DF"/>
    <w:rsid w:val="211C7EF8"/>
    <w:rsid w:val="21201AED"/>
    <w:rsid w:val="2123166E"/>
    <w:rsid w:val="21252CA9"/>
    <w:rsid w:val="21286565"/>
    <w:rsid w:val="212F6A59"/>
    <w:rsid w:val="213020AE"/>
    <w:rsid w:val="21306305"/>
    <w:rsid w:val="213170F5"/>
    <w:rsid w:val="21330562"/>
    <w:rsid w:val="21335DA6"/>
    <w:rsid w:val="21361B20"/>
    <w:rsid w:val="213B1801"/>
    <w:rsid w:val="213D54AD"/>
    <w:rsid w:val="214169BB"/>
    <w:rsid w:val="2144141D"/>
    <w:rsid w:val="21481E61"/>
    <w:rsid w:val="214B1974"/>
    <w:rsid w:val="214F4863"/>
    <w:rsid w:val="21504A40"/>
    <w:rsid w:val="21527879"/>
    <w:rsid w:val="215F7E39"/>
    <w:rsid w:val="2163647D"/>
    <w:rsid w:val="216C54DE"/>
    <w:rsid w:val="216E4095"/>
    <w:rsid w:val="217106CC"/>
    <w:rsid w:val="21714AD1"/>
    <w:rsid w:val="21741E6D"/>
    <w:rsid w:val="217C7971"/>
    <w:rsid w:val="217D44BC"/>
    <w:rsid w:val="21840F69"/>
    <w:rsid w:val="218F61F1"/>
    <w:rsid w:val="21936BCB"/>
    <w:rsid w:val="21952780"/>
    <w:rsid w:val="219619F8"/>
    <w:rsid w:val="219842E4"/>
    <w:rsid w:val="21997056"/>
    <w:rsid w:val="219B2AEE"/>
    <w:rsid w:val="219D2362"/>
    <w:rsid w:val="219D3F2A"/>
    <w:rsid w:val="21AA5245"/>
    <w:rsid w:val="21AB4F6A"/>
    <w:rsid w:val="21AB77F7"/>
    <w:rsid w:val="21AC4ECC"/>
    <w:rsid w:val="21AD30AE"/>
    <w:rsid w:val="21B50781"/>
    <w:rsid w:val="21B87C47"/>
    <w:rsid w:val="21BF03BC"/>
    <w:rsid w:val="21BF4458"/>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03773"/>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25D7D"/>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B610D"/>
    <w:rsid w:val="230C7A96"/>
    <w:rsid w:val="230D1610"/>
    <w:rsid w:val="23143B37"/>
    <w:rsid w:val="231544D3"/>
    <w:rsid w:val="2315496B"/>
    <w:rsid w:val="231637F9"/>
    <w:rsid w:val="231A014A"/>
    <w:rsid w:val="231C2B3E"/>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4021E"/>
    <w:rsid w:val="23561E6B"/>
    <w:rsid w:val="23566DDF"/>
    <w:rsid w:val="23572E7E"/>
    <w:rsid w:val="235924CA"/>
    <w:rsid w:val="23592D87"/>
    <w:rsid w:val="235F162F"/>
    <w:rsid w:val="23614286"/>
    <w:rsid w:val="236478D2"/>
    <w:rsid w:val="23673863"/>
    <w:rsid w:val="236A053E"/>
    <w:rsid w:val="236D4F13"/>
    <w:rsid w:val="23752F81"/>
    <w:rsid w:val="2378262C"/>
    <w:rsid w:val="237B7D6C"/>
    <w:rsid w:val="238015EC"/>
    <w:rsid w:val="238357F5"/>
    <w:rsid w:val="23837B67"/>
    <w:rsid w:val="23857493"/>
    <w:rsid w:val="238755B6"/>
    <w:rsid w:val="23885214"/>
    <w:rsid w:val="238944BF"/>
    <w:rsid w:val="238B65DE"/>
    <w:rsid w:val="238C73AC"/>
    <w:rsid w:val="238D0169"/>
    <w:rsid w:val="2390760E"/>
    <w:rsid w:val="239130F2"/>
    <w:rsid w:val="239B728F"/>
    <w:rsid w:val="239D405B"/>
    <w:rsid w:val="23A06D34"/>
    <w:rsid w:val="23A06FB8"/>
    <w:rsid w:val="23AE1527"/>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EF1892"/>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228BF"/>
    <w:rsid w:val="24B631A8"/>
    <w:rsid w:val="24B93780"/>
    <w:rsid w:val="24BD38BA"/>
    <w:rsid w:val="24BE3012"/>
    <w:rsid w:val="24C0685F"/>
    <w:rsid w:val="24CD6DBE"/>
    <w:rsid w:val="24D20A06"/>
    <w:rsid w:val="24D25A79"/>
    <w:rsid w:val="24D51CDF"/>
    <w:rsid w:val="24E57853"/>
    <w:rsid w:val="24E77BE6"/>
    <w:rsid w:val="24F17428"/>
    <w:rsid w:val="24F24750"/>
    <w:rsid w:val="24F80270"/>
    <w:rsid w:val="250253B9"/>
    <w:rsid w:val="250C5C6A"/>
    <w:rsid w:val="25165BAC"/>
    <w:rsid w:val="2517098B"/>
    <w:rsid w:val="25176627"/>
    <w:rsid w:val="251E0656"/>
    <w:rsid w:val="252053F9"/>
    <w:rsid w:val="2522013D"/>
    <w:rsid w:val="25223279"/>
    <w:rsid w:val="252401CC"/>
    <w:rsid w:val="25241F90"/>
    <w:rsid w:val="25280B69"/>
    <w:rsid w:val="25280CBE"/>
    <w:rsid w:val="252A120C"/>
    <w:rsid w:val="252A4786"/>
    <w:rsid w:val="25304AD5"/>
    <w:rsid w:val="25327207"/>
    <w:rsid w:val="25395126"/>
    <w:rsid w:val="25413DB0"/>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52B73"/>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BE6FE6"/>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6ACC"/>
    <w:rsid w:val="25F67042"/>
    <w:rsid w:val="260054CC"/>
    <w:rsid w:val="26071C55"/>
    <w:rsid w:val="260A55DA"/>
    <w:rsid w:val="260B255C"/>
    <w:rsid w:val="260C579B"/>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A3AF4"/>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52AFC"/>
    <w:rsid w:val="26B9766D"/>
    <w:rsid w:val="26BA59F2"/>
    <w:rsid w:val="26BD1ECD"/>
    <w:rsid w:val="26C36DE5"/>
    <w:rsid w:val="26C9404D"/>
    <w:rsid w:val="26CD53A8"/>
    <w:rsid w:val="26D323BB"/>
    <w:rsid w:val="26D45590"/>
    <w:rsid w:val="26DB67F4"/>
    <w:rsid w:val="26DE02E5"/>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0D202F"/>
    <w:rsid w:val="27125B0D"/>
    <w:rsid w:val="27130E1A"/>
    <w:rsid w:val="271A3CFE"/>
    <w:rsid w:val="271B44C4"/>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83FEE"/>
    <w:rsid w:val="279A2ED3"/>
    <w:rsid w:val="279F35CF"/>
    <w:rsid w:val="27A23025"/>
    <w:rsid w:val="27A46397"/>
    <w:rsid w:val="27A8782B"/>
    <w:rsid w:val="27AB0938"/>
    <w:rsid w:val="27B02558"/>
    <w:rsid w:val="27B027C6"/>
    <w:rsid w:val="27B03EC1"/>
    <w:rsid w:val="27B91021"/>
    <w:rsid w:val="27BA3133"/>
    <w:rsid w:val="27C06D17"/>
    <w:rsid w:val="27C66099"/>
    <w:rsid w:val="27CA7CDA"/>
    <w:rsid w:val="27DA0163"/>
    <w:rsid w:val="27DF1D24"/>
    <w:rsid w:val="27E30D7E"/>
    <w:rsid w:val="27E43C95"/>
    <w:rsid w:val="27F20EFC"/>
    <w:rsid w:val="27FB11A8"/>
    <w:rsid w:val="27FE4240"/>
    <w:rsid w:val="27FE6547"/>
    <w:rsid w:val="27FF2D7D"/>
    <w:rsid w:val="280008FF"/>
    <w:rsid w:val="28050D91"/>
    <w:rsid w:val="280821E0"/>
    <w:rsid w:val="280A73A7"/>
    <w:rsid w:val="280B0292"/>
    <w:rsid w:val="281035C6"/>
    <w:rsid w:val="281126EE"/>
    <w:rsid w:val="28140E2A"/>
    <w:rsid w:val="2824417F"/>
    <w:rsid w:val="28255041"/>
    <w:rsid w:val="282B09BF"/>
    <w:rsid w:val="282B1213"/>
    <w:rsid w:val="2835725E"/>
    <w:rsid w:val="283832F0"/>
    <w:rsid w:val="283A1E3E"/>
    <w:rsid w:val="283C2DAC"/>
    <w:rsid w:val="283F0B9A"/>
    <w:rsid w:val="284543A1"/>
    <w:rsid w:val="28455B9B"/>
    <w:rsid w:val="284B1061"/>
    <w:rsid w:val="28506F1C"/>
    <w:rsid w:val="285465E8"/>
    <w:rsid w:val="28553E1D"/>
    <w:rsid w:val="2859475D"/>
    <w:rsid w:val="285C4CC5"/>
    <w:rsid w:val="285E09C3"/>
    <w:rsid w:val="285E5D04"/>
    <w:rsid w:val="2866568E"/>
    <w:rsid w:val="28693318"/>
    <w:rsid w:val="286B3B61"/>
    <w:rsid w:val="286B52E0"/>
    <w:rsid w:val="286B6D4C"/>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8774D"/>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83C1C"/>
    <w:rsid w:val="293955A6"/>
    <w:rsid w:val="293966D9"/>
    <w:rsid w:val="293D1DB5"/>
    <w:rsid w:val="29425246"/>
    <w:rsid w:val="2946144E"/>
    <w:rsid w:val="2946760C"/>
    <w:rsid w:val="29485EB7"/>
    <w:rsid w:val="29487D92"/>
    <w:rsid w:val="294A5BC8"/>
    <w:rsid w:val="29504176"/>
    <w:rsid w:val="29504B36"/>
    <w:rsid w:val="29512FCE"/>
    <w:rsid w:val="29567307"/>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C306D"/>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73B7A"/>
    <w:rsid w:val="2A9A66D4"/>
    <w:rsid w:val="2A9E2BAB"/>
    <w:rsid w:val="2AA1007B"/>
    <w:rsid w:val="2AA12DD3"/>
    <w:rsid w:val="2AAA29AB"/>
    <w:rsid w:val="2AAA4B39"/>
    <w:rsid w:val="2AAB1744"/>
    <w:rsid w:val="2AAC36BD"/>
    <w:rsid w:val="2AB04937"/>
    <w:rsid w:val="2AB1542B"/>
    <w:rsid w:val="2AB22C1B"/>
    <w:rsid w:val="2AB31FAB"/>
    <w:rsid w:val="2AB86677"/>
    <w:rsid w:val="2ABA266F"/>
    <w:rsid w:val="2ABC2E55"/>
    <w:rsid w:val="2AC90132"/>
    <w:rsid w:val="2ACF5AEC"/>
    <w:rsid w:val="2AD62AB0"/>
    <w:rsid w:val="2ADC0696"/>
    <w:rsid w:val="2ADC1447"/>
    <w:rsid w:val="2ADE1583"/>
    <w:rsid w:val="2AE31A25"/>
    <w:rsid w:val="2AE62171"/>
    <w:rsid w:val="2AE70523"/>
    <w:rsid w:val="2AF12CDF"/>
    <w:rsid w:val="2AF27DCB"/>
    <w:rsid w:val="2AF92B4F"/>
    <w:rsid w:val="2AFC24E6"/>
    <w:rsid w:val="2B01621D"/>
    <w:rsid w:val="2B0726A6"/>
    <w:rsid w:val="2B090320"/>
    <w:rsid w:val="2B0C2B7C"/>
    <w:rsid w:val="2B0C6B23"/>
    <w:rsid w:val="2B147E30"/>
    <w:rsid w:val="2B19210F"/>
    <w:rsid w:val="2B1D6F4B"/>
    <w:rsid w:val="2B1E2A5D"/>
    <w:rsid w:val="2B2628D4"/>
    <w:rsid w:val="2B2637E1"/>
    <w:rsid w:val="2B280EB7"/>
    <w:rsid w:val="2B2B5653"/>
    <w:rsid w:val="2B2D1363"/>
    <w:rsid w:val="2B306C2A"/>
    <w:rsid w:val="2B335E16"/>
    <w:rsid w:val="2B33613E"/>
    <w:rsid w:val="2B3429F1"/>
    <w:rsid w:val="2B3A1DF7"/>
    <w:rsid w:val="2B3B71ED"/>
    <w:rsid w:val="2B42025A"/>
    <w:rsid w:val="2B450516"/>
    <w:rsid w:val="2B4526E2"/>
    <w:rsid w:val="2B4722C4"/>
    <w:rsid w:val="2B484627"/>
    <w:rsid w:val="2B4F4A14"/>
    <w:rsid w:val="2B4F4C94"/>
    <w:rsid w:val="2B504399"/>
    <w:rsid w:val="2B505F9D"/>
    <w:rsid w:val="2B592A46"/>
    <w:rsid w:val="2B5A76DB"/>
    <w:rsid w:val="2B5B7165"/>
    <w:rsid w:val="2B611B55"/>
    <w:rsid w:val="2B662258"/>
    <w:rsid w:val="2B686C09"/>
    <w:rsid w:val="2B717030"/>
    <w:rsid w:val="2B776DFA"/>
    <w:rsid w:val="2B795BD8"/>
    <w:rsid w:val="2B7E07EF"/>
    <w:rsid w:val="2B8311DA"/>
    <w:rsid w:val="2B832952"/>
    <w:rsid w:val="2B8759DF"/>
    <w:rsid w:val="2B8B34AB"/>
    <w:rsid w:val="2B914C5E"/>
    <w:rsid w:val="2B9B22FF"/>
    <w:rsid w:val="2BA252E6"/>
    <w:rsid w:val="2BA53554"/>
    <w:rsid w:val="2BAC4FE7"/>
    <w:rsid w:val="2BB0363B"/>
    <w:rsid w:val="2BB44220"/>
    <w:rsid w:val="2BB44986"/>
    <w:rsid w:val="2BB61EA7"/>
    <w:rsid w:val="2BB9279E"/>
    <w:rsid w:val="2BBA6EF5"/>
    <w:rsid w:val="2BBD5502"/>
    <w:rsid w:val="2BBE53B4"/>
    <w:rsid w:val="2BC03979"/>
    <w:rsid w:val="2BC31074"/>
    <w:rsid w:val="2BC873B9"/>
    <w:rsid w:val="2BC941AF"/>
    <w:rsid w:val="2BCC24B9"/>
    <w:rsid w:val="2BD01C8D"/>
    <w:rsid w:val="2BDC02CD"/>
    <w:rsid w:val="2BDF4442"/>
    <w:rsid w:val="2BE571D6"/>
    <w:rsid w:val="2BE64A3E"/>
    <w:rsid w:val="2BEC4F7F"/>
    <w:rsid w:val="2BF00C4E"/>
    <w:rsid w:val="2BF01DD3"/>
    <w:rsid w:val="2BF04945"/>
    <w:rsid w:val="2BF428FD"/>
    <w:rsid w:val="2BF51B27"/>
    <w:rsid w:val="2BF52156"/>
    <w:rsid w:val="2BF70C79"/>
    <w:rsid w:val="2BF835D8"/>
    <w:rsid w:val="2C005788"/>
    <w:rsid w:val="2C0478DE"/>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0496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182E"/>
    <w:rsid w:val="2C7E4570"/>
    <w:rsid w:val="2C832A18"/>
    <w:rsid w:val="2C865A05"/>
    <w:rsid w:val="2C8B0557"/>
    <w:rsid w:val="2C9A28D3"/>
    <w:rsid w:val="2C9C1B52"/>
    <w:rsid w:val="2CA0462E"/>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270891"/>
    <w:rsid w:val="2D2F2EE4"/>
    <w:rsid w:val="2D306B85"/>
    <w:rsid w:val="2D313196"/>
    <w:rsid w:val="2D323D75"/>
    <w:rsid w:val="2D3F06B2"/>
    <w:rsid w:val="2D400A9F"/>
    <w:rsid w:val="2D4C02C1"/>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30310"/>
    <w:rsid w:val="2DAC4521"/>
    <w:rsid w:val="2DB24F00"/>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51C1D"/>
    <w:rsid w:val="2E095C19"/>
    <w:rsid w:val="2E0F3A78"/>
    <w:rsid w:val="2E1530A6"/>
    <w:rsid w:val="2E160B5E"/>
    <w:rsid w:val="2E1859B1"/>
    <w:rsid w:val="2E190FE7"/>
    <w:rsid w:val="2E195433"/>
    <w:rsid w:val="2E1F197E"/>
    <w:rsid w:val="2E2630D7"/>
    <w:rsid w:val="2E275653"/>
    <w:rsid w:val="2E2806DD"/>
    <w:rsid w:val="2E2A2427"/>
    <w:rsid w:val="2E2A4425"/>
    <w:rsid w:val="2E2F3046"/>
    <w:rsid w:val="2E2F754E"/>
    <w:rsid w:val="2E2F7E96"/>
    <w:rsid w:val="2E302808"/>
    <w:rsid w:val="2E3A3030"/>
    <w:rsid w:val="2E3C084B"/>
    <w:rsid w:val="2E3D31FA"/>
    <w:rsid w:val="2E46069F"/>
    <w:rsid w:val="2E4B21B3"/>
    <w:rsid w:val="2E553370"/>
    <w:rsid w:val="2E556C0A"/>
    <w:rsid w:val="2E5608F9"/>
    <w:rsid w:val="2E570E04"/>
    <w:rsid w:val="2E59206F"/>
    <w:rsid w:val="2E601EB6"/>
    <w:rsid w:val="2E6626EB"/>
    <w:rsid w:val="2E6703F9"/>
    <w:rsid w:val="2E6910AE"/>
    <w:rsid w:val="2E6B29AA"/>
    <w:rsid w:val="2E6F4813"/>
    <w:rsid w:val="2E6F5C7D"/>
    <w:rsid w:val="2E705752"/>
    <w:rsid w:val="2E736411"/>
    <w:rsid w:val="2E7622E7"/>
    <w:rsid w:val="2E791B9C"/>
    <w:rsid w:val="2E7A5E34"/>
    <w:rsid w:val="2E7B51F7"/>
    <w:rsid w:val="2E7B65BB"/>
    <w:rsid w:val="2E812666"/>
    <w:rsid w:val="2E835E5F"/>
    <w:rsid w:val="2E855C37"/>
    <w:rsid w:val="2E8810D4"/>
    <w:rsid w:val="2E884911"/>
    <w:rsid w:val="2E8863A8"/>
    <w:rsid w:val="2E8B3A26"/>
    <w:rsid w:val="2E8C7BEE"/>
    <w:rsid w:val="2E8F09A4"/>
    <w:rsid w:val="2E914A07"/>
    <w:rsid w:val="2E993370"/>
    <w:rsid w:val="2E9A086A"/>
    <w:rsid w:val="2E9A69ED"/>
    <w:rsid w:val="2E9B22A9"/>
    <w:rsid w:val="2E9B7771"/>
    <w:rsid w:val="2E9F0B75"/>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06074C"/>
    <w:rsid w:val="2F0E4B96"/>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6D016C"/>
    <w:rsid w:val="2F712CF7"/>
    <w:rsid w:val="2F726B1A"/>
    <w:rsid w:val="2F727813"/>
    <w:rsid w:val="2F7B54EA"/>
    <w:rsid w:val="2F805714"/>
    <w:rsid w:val="2F811998"/>
    <w:rsid w:val="2F8640C4"/>
    <w:rsid w:val="2F8E4C55"/>
    <w:rsid w:val="2F8E5F5C"/>
    <w:rsid w:val="2F921FAC"/>
    <w:rsid w:val="2FA12C61"/>
    <w:rsid w:val="2FA21231"/>
    <w:rsid w:val="2FAD4759"/>
    <w:rsid w:val="2FAD5866"/>
    <w:rsid w:val="2FAE1EFC"/>
    <w:rsid w:val="2FAF7B4B"/>
    <w:rsid w:val="2FB4059E"/>
    <w:rsid w:val="2FB41FC6"/>
    <w:rsid w:val="2FB46FC7"/>
    <w:rsid w:val="2FB91323"/>
    <w:rsid w:val="2FBA2E31"/>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65D56"/>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1D07"/>
    <w:rsid w:val="3090288F"/>
    <w:rsid w:val="309645C5"/>
    <w:rsid w:val="309B0CFB"/>
    <w:rsid w:val="309B2EEC"/>
    <w:rsid w:val="309E4272"/>
    <w:rsid w:val="30A41DB4"/>
    <w:rsid w:val="30A67485"/>
    <w:rsid w:val="30A71AE3"/>
    <w:rsid w:val="30AE56DC"/>
    <w:rsid w:val="30B7307E"/>
    <w:rsid w:val="30BB5407"/>
    <w:rsid w:val="30BF034E"/>
    <w:rsid w:val="30C21A0E"/>
    <w:rsid w:val="30D10F27"/>
    <w:rsid w:val="30D43132"/>
    <w:rsid w:val="30DC45E8"/>
    <w:rsid w:val="30DD6027"/>
    <w:rsid w:val="30DE16AB"/>
    <w:rsid w:val="30E1221A"/>
    <w:rsid w:val="30E734EF"/>
    <w:rsid w:val="30F24AB3"/>
    <w:rsid w:val="30F44A95"/>
    <w:rsid w:val="30F77A98"/>
    <w:rsid w:val="30FA21D8"/>
    <w:rsid w:val="30FC2A23"/>
    <w:rsid w:val="310B520B"/>
    <w:rsid w:val="31154308"/>
    <w:rsid w:val="31184364"/>
    <w:rsid w:val="31197ABC"/>
    <w:rsid w:val="311A0F9C"/>
    <w:rsid w:val="311D5B14"/>
    <w:rsid w:val="31271357"/>
    <w:rsid w:val="312723F9"/>
    <w:rsid w:val="312D0545"/>
    <w:rsid w:val="312D1F98"/>
    <w:rsid w:val="3136546A"/>
    <w:rsid w:val="313A7B85"/>
    <w:rsid w:val="313E22A6"/>
    <w:rsid w:val="31412F85"/>
    <w:rsid w:val="31454E97"/>
    <w:rsid w:val="314A019C"/>
    <w:rsid w:val="314C1564"/>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E83DC4"/>
    <w:rsid w:val="31F20023"/>
    <w:rsid w:val="31F31FF7"/>
    <w:rsid w:val="31F42AB8"/>
    <w:rsid w:val="31F52FE4"/>
    <w:rsid w:val="31F536F7"/>
    <w:rsid w:val="31FA3C94"/>
    <w:rsid w:val="31FA7AEE"/>
    <w:rsid w:val="31FB60C5"/>
    <w:rsid w:val="32005D96"/>
    <w:rsid w:val="32021A78"/>
    <w:rsid w:val="3209100C"/>
    <w:rsid w:val="321E250B"/>
    <w:rsid w:val="32204DF4"/>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6D21DB"/>
    <w:rsid w:val="3272101B"/>
    <w:rsid w:val="32722131"/>
    <w:rsid w:val="327A3DD6"/>
    <w:rsid w:val="327E6AD8"/>
    <w:rsid w:val="32821B23"/>
    <w:rsid w:val="328301EA"/>
    <w:rsid w:val="32864FED"/>
    <w:rsid w:val="32926F1E"/>
    <w:rsid w:val="32946A84"/>
    <w:rsid w:val="329747D6"/>
    <w:rsid w:val="3298755C"/>
    <w:rsid w:val="329B3044"/>
    <w:rsid w:val="329D070B"/>
    <w:rsid w:val="329E6B24"/>
    <w:rsid w:val="32A77A89"/>
    <w:rsid w:val="32AC6196"/>
    <w:rsid w:val="32AF5A06"/>
    <w:rsid w:val="32B22C9D"/>
    <w:rsid w:val="32BA631C"/>
    <w:rsid w:val="32BC6631"/>
    <w:rsid w:val="32C05B65"/>
    <w:rsid w:val="32C6418D"/>
    <w:rsid w:val="32C959A4"/>
    <w:rsid w:val="32CE0C5E"/>
    <w:rsid w:val="32CF3588"/>
    <w:rsid w:val="32D14A7F"/>
    <w:rsid w:val="32D26AE6"/>
    <w:rsid w:val="32D733FA"/>
    <w:rsid w:val="32DE353D"/>
    <w:rsid w:val="32E148E8"/>
    <w:rsid w:val="32E343F6"/>
    <w:rsid w:val="32E921F0"/>
    <w:rsid w:val="32F76D5D"/>
    <w:rsid w:val="32F86450"/>
    <w:rsid w:val="32FE7F69"/>
    <w:rsid w:val="330066D7"/>
    <w:rsid w:val="330244A4"/>
    <w:rsid w:val="3304026E"/>
    <w:rsid w:val="33066388"/>
    <w:rsid w:val="330F1E44"/>
    <w:rsid w:val="331747E7"/>
    <w:rsid w:val="331B37C6"/>
    <w:rsid w:val="331C390F"/>
    <w:rsid w:val="33222F7E"/>
    <w:rsid w:val="333073BF"/>
    <w:rsid w:val="333A0536"/>
    <w:rsid w:val="333A6DD7"/>
    <w:rsid w:val="333C18FE"/>
    <w:rsid w:val="333E0FE1"/>
    <w:rsid w:val="333F4C47"/>
    <w:rsid w:val="333F6941"/>
    <w:rsid w:val="33444CAD"/>
    <w:rsid w:val="334D7767"/>
    <w:rsid w:val="33541EC6"/>
    <w:rsid w:val="33572F13"/>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AD0A8D"/>
    <w:rsid w:val="33B52233"/>
    <w:rsid w:val="33B70359"/>
    <w:rsid w:val="33BA1B32"/>
    <w:rsid w:val="33BE01F6"/>
    <w:rsid w:val="33BF02F5"/>
    <w:rsid w:val="33BF7141"/>
    <w:rsid w:val="33C61EE3"/>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6172B"/>
    <w:rsid w:val="34087429"/>
    <w:rsid w:val="340B5F03"/>
    <w:rsid w:val="3411600B"/>
    <w:rsid w:val="341315B5"/>
    <w:rsid w:val="34147AA7"/>
    <w:rsid w:val="34151CC9"/>
    <w:rsid w:val="34165481"/>
    <w:rsid w:val="3417174F"/>
    <w:rsid w:val="341808C3"/>
    <w:rsid w:val="34182B66"/>
    <w:rsid w:val="34191C89"/>
    <w:rsid w:val="341E635E"/>
    <w:rsid w:val="34260D3D"/>
    <w:rsid w:val="342D3CE2"/>
    <w:rsid w:val="34333AFC"/>
    <w:rsid w:val="34343D6C"/>
    <w:rsid w:val="34347DC5"/>
    <w:rsid w:val="34362BC5"/>
    <w:rsid w:val="34380493"/>
    <w:rsid w:val="34463967"/>
    <w:rsid w:val="3446654D"/>
    <w:rsid w:val="344C08D2"/>
    <w:rsid w:val="345543D1"/>
    <w:rsid w:val="34564E8B"/>
    <w:rsid w:val="345A1F55"/>
    <w:rsid w:val="345A7367"/>
    <w:rsid w:val="345D2CD0"/>
    <w:rsid w:val="346C0AEA"/>
    <w:rsid w:val="3473748E"/>
    <w:rsid w:val="3474594A"/>
    <w:rsid w:val="347F540F"/>
    <w:rsid w:val="34842DE4"/>
    <w:rsid w:val="34863322"/>
    <w:rsid w:val="34885DB3"/>
    <w:rsid w:val="348D6EF2"/>
    <w:rsid w:val="348F0ED3"/>
    <w:rsid w:val="348F7A0E"/>
    <w:rsid w:val="3491064E"/>
    <w:rsid w:val="34975090"/>
    <w:rsid w:val="349A0B7D"/>
    <w:rsid w:val="349F0E6A"/>
    <w:rsid w:val="34A42817"/>
    <w:rsid w:val="34A851E8"/>
    <w:rsid w:val="34A92857"/>
    <w:rsid w:val="34A94ADA"/>
    <w:rsid w:val="34A97BFE"/>
    <w:rsid w:val="34B51A96"/>
    <w:rsid w:val="34BF1CD4"/>
    <w:rsid w:val="34C77B77"/>
    <w:rsid w:val="34C800BD"/>
    <w:rsid w:val="34C936CD"/>
    <w:rsid w:val="34CC1DC7"/>
    <w:rsid w:val="34CE1050"/>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A4BFA"/>
    <w:rsid w:val="352B5169"/>
    <w:rsid w:val="353230EA"/>
    <w:rsid w:val="35333FF2"/>
    <w:rsid w:val="353834AB"/>
    <w:rsid w:val="3539596F"/>
    <w:rsid w:val="353C4905"/>
    <w:rsid w:val="353C75ED"/>
    <w:rsid w:val="353E791E"/>
    <w:rsid w:val="354008AB"/>
    <w:rsid w:val="354613F6"/>
    <w:rsid w:val="35470E02"/>
    <w:rsid w:val="354966A2"/>
    <w:rsid w:val="354C7B38"/>
    <w:rsid w:val="354F28B8"/>
    <w:rsid w:val="35502300"/>
    <w:rsid w:val="355040B5"/>
    <w:rsid w:val="35535CBB"/>
    <w:rsid w:val="355578D9"/>
    <w:rsid w:val="35562F9E"/>
    <w:rsid w:val="35581BA8"/>
    <w:rsid w:val="355B280E"/>
    <w:rsid w:val="355B3BD4"/>
    <w:rsid w:val="355B61CB"/>
    <w:rsid w:val="355D687A"/>
    <w:rsid w:val="356161F3"/>
    <w:rsid w:val="356849C3"/>
    <w:rsid w:val="35691707"/>
    <w:rsid w:val="356A4D65"/>
    <w:rsid w:val="35703C2E"/>
    <w:rsid w:val="35744059"/>
    <w:rsid w:val="35747E4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5FB592D"/>
    <w:rsid w:val="35FF2535"/>
    <w:rsid w:val="3602050E"/>
    <w:rsid w:val="360348C0"/>
    <w:rsid w:val="36077B5A"/>
    <w:rsid w:val="36095627"/>
    <w:rsid w:val="360B5B09"/>
    <w:rsid w:val="36101A49"/>
    <w:rsid w:val="3614357F"/>
    <w:rsid w:val="36163688"/>
    <w:rsid w:val="361A2F27"/>
    <w:rsid w:val="361B6516"/>
    <w:rsid w:val="3624711B"/>
    <w:rsid w:val="36265F04"/>
    <w:rsid w:val="36266913"/>
    <w:rsid w:val="362952D6"/>
    <w:rsid w:val="36297754"/>
    <w:rsid w:val="362F3A87"/>
    <w:rsid w:val="363210F7"/>
    <w:rsid w:val="36372C24"/>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6D77D0"/>
    <w:rsid w:val="36701C31"/>
    <w:rsid w:val="36720A4C"/>
    <w:rsid w:val="367210E9"/>
    <w:rsid w:val="36752210"/>
    <w:rsid w:val="36776A4B"/>
    <w:rsid w:val="3681695C"/>
    <w:rsid w:val="36820E97"/>
    <w:rsid w:val="36851BE2"/>
    <w:rsid w:val="36884498"/>
    <w:rsid w:val="368F0563"/>
    <w:rsid w:val="36922B55"/>
    <w:rsid w:val="369260AD"/>
    <w:rsid w:val="36991125"/>
    <w:rsid w:val="369C60C5"/>
    <w:rsid w:val="369C6A15"/>
    <w:rsid w:val="369E44B4"/>
    <w:rsid w:val="36A312B2"/>
    <w:rsid w:val="36A35C4C"/>
    <w:rsid w:val="36A44DDD"/>
    <w:rsid w:val="36A5021A"/>
    <w:rsid w:val="36A9265A"/>
    <w:rsid w:val="36A9393B"/>
    <w:rsid w:val="36AA239C"/>
    <w:rsid w:val="36AC3612"/>
    <w:rsid w:val="36AE738B"/>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E508D2"/>
    <w:rsid w:val="36F03F0E"/>
    <w:rsid w:val="36F414F3"/>
    <w:rsid w:val="36F75FB1"/>
    <w:rsid w:val="36F8799C"/>
    <w:rsid w:val="36F902E0"/>
    <w:rsid w:val="36FE2DE5"/>
    <w:rsid w:val="36FE3F92"/>
    <w:rsid w:val="37002C93"/>
    <w:rsid w:val="370149ED"/>
    <w:rsid w:val="37021B28"/>
    <w:rsid w:val="37027535"/>
    <w:rsid w:val="37060F75"/>
    <w:rsid w:val="370757D3"/>
    <w:rsid w:val="370778BC"/>
    <w:rsid w:val="37086DBC"/>
    <w:rsid w:val="370974B4"/>
    <w:rsid w:val="370D0F30"/>
    <w:rsid w:val="37123663"/>
    <w:rsid w:val="37126487"/>
    <w:rsid w:val="371A5A8E"/>
    <w:rsid w:val="371B03AE"/>
    <w:rsid w:val="371E6151"/>
    <w:rsid w:val="371F5B92"/>
    <w:rsid w:val="371F7479"/>
    <w:rsid w:val="37200042"/>
    <w:rsid w:val="37235104"/>
    <w:rsid w:val="37271A7B"/>
    <w:rsid w:val="37277663"/>
    <w:rsid w:val="372A07F2"/>
    <w:rsid w:val="372B36CF"/>
    <w:rsid w:val="37342518"/>
    <w:rsid w:val="37357964"/>
    <w:rsid w:val="373757CA"/>
    <w:rsid w:val="373A5120"/>
    <w:rsid w:val="373B5161"/>
    <w:rsid w:val="373D6F58"/>
    <w:rsid w:val="37446333"/>
    <w:rsid w:val="37446A77"/>
    <w:rsid w:val="37476F7B"/>
    <w:rsid w:val="374A6A90"/>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54B9C"/>
    <w:rsid w:val="37BA6351"/>
    <w:rsid w:val="37BF1123"/>
    <w:rsid w:val="37C0226A"/>
    <w:rsid w:val="37C265EA"/>
    <w:rsid w:val="37C73F5D"/>
    <w:rsid w:val="37C93B72"/>
    <w:rsid w:val="37CC231E"/>
    <w:rsid w:val="37CC50A4"/>
    <w:rsid w:val="37D644F2"/>
    <w:rsid w:val="37E22653"/>
    <w:rsid w:val="37E61084"/>
    <w:rsid w:val="37ED5E3A"/>
    <w:rsid w:val="37EF1B98"/>
    <w:rsid w:val="37F311D3"/>
    <w:rsid w:val="37F436DD"/>
    <w:rsid w:val="37F7242F"/>
    <w:rsid w:val="37F95722"/>
    <w:rsid w:val="37FD1EC6"/>
    <w:rsid w:val="380579FE"/>
    <w:rsid w:val="380A2EB4"/>
    <w:rsid w:val="38157509"/>
    <w:rsid w:val="38194CC2"/>
    <w:rsid w:val="381D5340"/>
    <w:rsid w:val="381F0910"/>
    <w:rsid w:val="382150C9"/>
    <w:rsid w:val="382372FE"/>
    <w:rsid w:val="38284CDE"/>
    <w:rsid w:val="38290CA5"/>
    <w:rsid w:val="382D014D"/>
    <w:rsid w:val="382D297A"/>
    <w:rsid w:val="382F19E6"/>
    <w:rsid w:val="38336594"/>
    <w:rsid w:val="383A22BF"/>
    <w:rsid w:val="383B0AED"/>
    <w:rsid w:val="383B2EED"/>
    <w:rsid w:val="38463F5F"/>
    <w:rsid w:val="384C2D57"/>
    <w:rsid w:val="38557E21"/>
    <w:rsid w:val="3856501D"/>
    <w:rsid w:val="38590DD6"/>
    <w:rsid w:val="385B52F0"/>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17E76"/>
    <w:rsid w:val="38962777"/>
    <w:rsid w:val="38981AB5"/>
    <w:rsid w:val="389D76B7"/>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767D5"/>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343E9"/>
    <w:rsid w:val="39885108"/>
    <w:rsid w:val="398A2308"/>
    <w:rsid w:val="39907940"/>
    <w:rsid w:val="39920E09"/>
    <w:rsid w:val="39940FDD"/>
    <w:rsid w:val="399602F5"/>
    <w:rsid w:val="399B5B0D"/>
    <w:rsid w:val="39A05979"/>
    <w:rsid w:val="39A471AE"/>
    <w:rsid w:val="39A90F14"/>
    <w:rsid w:val="39AB5689"/>
    <w:rsid w:val="39B747A8"/>
    <w:rsid w:val="39BB78F7"/>
    <w:rsid w:val="39BC428E"/>
    <w:rsid w:val="39BF2BB7"/>
    <w:rsid w:val="39C46549"/>
    <w:rsid w:val="39CA1A60"/>
    <w:rsid w:val="39CB0253"/>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53765"/>
    <w:rsid w:val="3A082ABE"/>
    <w:rsid w:val="3A0A6393"/>
    <w:rsid w:val="3A0E18F6"/>
    <w:rsid w:val="3A0E766B"/>
    <w:rsid w:val="3A181AC2"/>
    <w:rsid w:val="3A1A155D"/>
    <w:rsid w:val="3A1A5D0A"/>
    <w:rsid w:val="3A1C460B"/>
    <w:rsid w:val="3A237175"/>
    <w:rsid w:val="3A264A9F"/>
    <w:rsid w:val="3A2B2AA6"/>
    <w:rsid w:val="3A2C4E83"/>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0AA5"/>
    <w:rsid w:val="3AA576FB"/>
    <w:rsid w:val="3AA607A4"/>
    <w:rsid w:val="3AA90278"/>
    <w:rsid w:val="3AA97F70"/>
    <w:rsid w:val="3AAC45FD"/>
    <w:rsid w:val="3AB2580E"/>
    <w:rsid w:val="3AB26A14"/>
    <w:rsid w:val="3AB91255"/>
    <w:rsid w:val="3AB94248"/>
    <w:rsid w:val="3ABE6A92"/>
    <w:rsid w:val="3ABE76C3"/>
    <w:rsid w:val="3ABE7ADC"/>
    <w:rsid w:val="3ABF42F5"/>
    <w:rsid w:val="3ACE18D2"/>
    <w:rsid w:val="3ACE7D16"/>
    <w:rsid w:val="3AD068AC"/>
    <w:rsid w:val="3AD56DB6"/>
    <w:rsid w:val="3AD73D23"/>
    <w:rsid w:val="3AD77B8A"/>
    <w:rsid w:val="3AE6488C"/>
    <w:rsid w:val="3AE72EC4"/>
    <w:rsid w:val="3AEE596A"/>
    <w:rsid w:val="3AF053C9"/>
    <w:rsid w:val="3AF05C24"/>
    <w:rsid w:val="3AF17E09"/>
    <w:rsid w:val="3AF47143"/>
    <w:rsid w:val="3AF90FF9"/>
    <w:rsid w:val="3AF932C9"/>
    <w:rsid w:val="3AFD37D0"/>
    <w:rsid w:val="3AFF35D3"/>
    <w:rsid w:val="3B016EE9"/>
    <w:rsid w:val="3B070E17"/>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4788"/>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54309"/>
    <w:rsid w:val="3B86470F"/>
    <w:rsid w:val="3B873119"/>
    <w:rsid w:val="3B892174"/>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41C1C"/>
    <w:rsid w:val="3BFA10FC"/>
    <w:rsid w:val="3C032713"/>
    <w:rsid w:val="3C042946"/>
    <w:rsid w:val="3C070D59"/>
    <w:rsid w:val="3C071F68"/>
    <w:rsid w:val="3C074961"/>
    <w:rsid w:val="3C0B6499"/>
    <w:rsid w:val="3C0E09BE"/>
    <w:rsid w:val="3C0F1954"/>
    <w:rsid w:val="3C0F347A"/>
    <w:rsid w:val="3C104621"/>
    <w:rsid w:val="3C1071B6"/>
    <w:rsid w:val="3C132CD6"/>
    <w:rsid w:val="3C1A48A7"/>
    <w:rsid w:val="3C1B14F3"/>
    <w:rsid w:val="3C1D7D10"/>
    <w:rsid w:val="3C1E1E84"/>
    <w:rsid w:val="3C1E391D"/>
    <w:rsid w:val="3C21000D"/>
    <w:rsid w:val="3C237821"/>
    <w:rsid w:val="3C294498"/>
    <w:rsid w:val="3C2A1C6F"/>
    <w:rsid w:val="3C2C15A2"/>
    <w:rsid w:val="3C2D5003"/>
    <w:rsid w:val="3C310A10"/>
    <w:rsid w:val="3C333216"/>
    <w:rsid w:val="3C36018F"/>
    <w:rsid w:val="3C3A7F01"/>
    <w:rsid w:val="3C3B0B4B"/>
    <w:rsid w:val="3C3D016E"/>
    <w:rsid w:val="3C4864AA"/>
    <w:rsid w:val="3C49796D"/>
    <w:rsid w:val="3C4F7D80"/>
    <w:rsid w:val="3C5475AD"/>
    <w:rsid w:val="3C591787"/>
    <w:rsid w:val="3C64689F"/>
    <w:rsid w:val="3C6E7D4D"/>
    <w:rsid w:val="3C6E7F09"/>
    <w:rsid w:val="3C740DAA"/>
    <w:rsid w:val="3C750E34"/>
    <w:rsid w:val="3C782A27"/>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B251D"/>
    <w:rsid w:val="3CCC4D4D"/>
    <w:rsid w:val="3CCD7DE2"/>
    <w:rsid w:val="3CCE0448"/>
    <w:rsid w:val="3CD71E34"/>
    <w:rsid w:val="3CD811CF"/>
    <w:rsid w:val="3CD93A3D"/>
    <w:rsid w:val="3CDB5D82"/>
    <w:rsid w:val="3CDC7FCF"/>
    <w:rsid w:val="3CDE394C"/>
    <w:rsid w:val="3CE01A27"/>
    <w:rsid w:val="3CE54B9F"/>
    <w:rsid w:val="3CE86761"/>
    <w:rsid w:val="3CEC51B9"/>
    <w:rsid w:val="3CF619DB"/>
    <w:rsid w:val="3CF86E9C"/>
    <w:rsid w:val="3CF87328"/>
    <w:rsid w:val="3CFD37E7"/>
    <w:rsid w:val="3CFE44BF"/>
    <w:rsid w:val="3D01412D"/>
    <w:rsid w:val="3D035272"/>
    <w:rsid w:val="3D0B7E6F"/>
    <w:rsid w:val="3D0F1231"/>
    <w:rsid w:val="3D0F48FB"/>
    <w:rsid w:val="3D130342"/>
    <w:rsid w:val="3D163A6F"/>
    <w:rsid w:val="3D184661"/>
    <w:rsid w:val="3D200D7C"/>
    <w:rsid w:val="3D233D0C"/>
    <w:rsid w:val="3D272F24"/>
    <w:rsid w:val="3D2959BD"/>
    <w:rsid w:val="3D2A76C4"/>
    <w:rsid w:val="3D2C61BC"/>
    <w:rsid w:val="3D2C725B"/>
    <w:rsid w:val="3D2F4437"/>
    <w:rsid w:val="3D3662C4"/>
    <w:rsid w:val="3D3879AE"/>
    <w:rsid w:val="3D3D229D"/>
    <w:rsid w:val="3D3E068A"/>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A6551"/>
    <w:rsid w:val="3DBB6C89"/>
    <w:rsid w:val="3DBC3878"/>
    <w:rsid w:val="3DBD74D6"/>
    <w:rsid w:val="3DC23DCA"/>
    <w:rsid w:val="3DC31F76"/>
    <w:rsid w:val="3DCD6921"/>
    <w:rsid w:val="3DD67156"/>
    <w:rsid w:val="3DD745F2"/>
    <w:rsid w:val="3DD81385"/>
    <w:rsid w:val="3DE04FCE"/>
    <w:rsid w:val="3DE26B28"/>
    <w:rsid w:val="3DE37514"/>
    <w:rsid w:val="3DE548AC"/>
    <w:rsid w:val="3DE653F8"/>
    <w:rsid w:val="3DE72673"/>
    <w:rsid w:val="3DE9510A"/>
    <w:rsid w:val="3DEB1255"/>
    <w:rsid w:val="3DEE1FBE"/>
    <w:rsid w:val="3DEE62E8"/>
    <w:rsid w:val="3DF22A3D"/>
    <w:rsid w:val="3DF94D6E"/>
    <w:rsid w:val="3E03620E"/>
    <w:rsid w:val="3E0448CB"/>
    <w:rsid w:val="3E073B6A"/>
    <w:rsid w:val="3E074DC9"/>
    <w:rsid w:val="3E0918A5"/>
    <w:rsid w:val="3E0F25EA"/>
    <w:rsid w:val="3E146F59"/>
    <w:rsid w:val="3E197897"/>
    <w:rsid w:val="3E1B303F"/>
    <w:rsid w:val="3E220E05"/>
    <w:rsid w:val="3E22755F"/>
    <w:rsid w:val="3E237BCC"/>
    <w:rsid w:val="3E255AC9"/>
    <w:rsid w:val="3E2C6DE7"/>
    <w:rsid w:val="3E2D5ACD"/>
    <w:rsid w:val="3E3419DC"/>
    <w:rsid w:val="3E376233"/>
    <w:rsid w:val="3E3A59A8"/>
    <w:rsid w:val="3E3C5F3C"/>
    <w:rsid w:val="3E3E306A"/>
    <w:rsid w:val="3E3F2CA0"/>
    <w:rsid w:val="3E410D79"/>
    <w:rsid w:val="3E454B0D"/>
    <w:rsid w:val="3E463CA5"/>
    <w:rsid w:val="3E4B2DC3"/>
    <w:rsid w:val="3E535A69"/>
    <w:rsid w:val="3E583BB7"/>
    <w:rsid w:val="3E5A1D01"/>
    <w:rsid w:val="3E5B12DC"/>
    <w:rsid w:val="3E623E46"/>
    <w:rsid w:val="3E63159D"/>
    <w:rsid w:val="3E667FB0"/>
    <w:rsid w:val="3E680BF1"/>
    <w:rsid w:val="3E694D5B"/>
    <w:rsid w:val="3E6953E3"/>
    <w:rsid w:val="3E744A86"/>
    <w:rsid w:val="3E780453"/>
    <w:rsid w:val="3E7A1C88"/>
    <w:rsid w:val="3E836D6C"/>
    <w:rsid w:val="3E837966"/>
    <w:rsid w:val="3E8409D1"/>
    <w:rsid w:val="3E844725"/>
    <w:rsid w:val="3E8B095A"/>
    <w:rsid w:val="3E8C69B2"/>
    <w:rsid w:val="3E8D0487"/>
    <w:rsid w:val="3E8D66A1"/>
    <w:rsid w:val="3E8E6C82"/>
    <w:rsid w:val="3E942719"/>
    <w:rsid w:val="3E943FDD"/>
    <w:rsid w:val="3E95645F"/>
    <w:rsid w:val="3E9A19C5"/>
    <w:rsid w:val="3E9A2ABD"/>
    <w:rsid w:val="3E9E1F00"/>
    <w:rsid w:val="3E9E3078"/>
    <w:rsid w:val="3EA247CB"/>
    <w:rsid w:val="3EA5280C"/>
    <w:rsid w:val="3EAC3BDD"/>
    <w:rsid w:val="3EB767A1"/>
    <w:rsid w:val="3EBB7EC0"/>
    <w:rsid w:val="3EBE3EE3"/>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1B487C"/>
    <w:rsid w:val="3F206E95"/>
    <w:rsid w:val="3F217DDA"/>
    <w:rsid w:val="3F2B184D"/>
    <w:rsid w:val="3F2C36BA"/>
    <w:rsid w:val="3F2C7646"/>
    <w:rsid w:val="3F2D4B86"/>
    <w:rsid w:val="3F2D6433"/>
    <w:rsid w:val="3F2F01F0"/>
    <w:rsid w:val="3F300CFA"/>
    <w:rsid w:val="3F3C6744"/>
    <w:rsid w:val="3F3D66CD"/>
    <w:rsid w:val="3F3F72BD"/>
    <w:rsid w:val="3F421D47"/>
    <w:rsid w:val="3F441B08"/>
    <w:rsid w:val="3F4A4087"/>
    <w:rsid w:val="3F5361F5"/>
    <w:rsid w:val="3F555F0F"/>
    <w:rsid w:val="3F556D23"/>
    <w:rsid w:val="3F5A4F9D"/>
    <w:rsid w:val="3F5C54AA"/>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37078"/>
    <w:rsid w:val="3FCF604C"/>
    <w:rsid w:val="3FD210AC"/>
    <w:rsid w:val="3FD53CFE"/>
    <w:rsid w:val="3FD9316A"/>
    <w:rsid w:val="3FDC3952"/>
    <w:rsid w:val="3FE1096B"/>
    <w:rsid w:val="3FE210C1"/>
    <w:rsid w:val="3FE403AE"/>
    <w:rsid w:val="3FE417DA"/>
    <w:rsid w:val="3FE85226"/>
    <w:rsid w:val="3FE9193C"/>
    <w:rsid w:val="3FEB1C22"/>
    <w:rsid w:val="3FEC4DA4"/>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16570"/>
    <w:rsid w:val="409238F2"/>
    <w:rsid w:val="40930EBC"/>
    <w:rsid w:val="40953EC0"/>
    <w:rsid w:val="40980BF1"/>
    <w:rsid w:val="409D027A"/>
    <w:rsid w:val="409F75BB"/>
    <w:rsid w:val="40AB3054"/>
    <w:rsid w:val="40AE78C1"/>
    <w:rsid w:val="40AF2B72"/>
    <w:rsid w:val="40B437EF"/>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74204"/>
    <w:rsid w:val="411C3143"/>
    <w:rsid w:val="411C75E7"/>
    <w:rsid w:val="411E6FB6"/>
    <w:rsid w:val="411F4460"/>
    <w:rsid w:val="41216875"/>
    <w:rsid w:val="412506DF"/>
    <w:rsid w:val="412D52A9"/>
    <w:rsid w:val="41320BD6"/>
    <w:rsid w:val="413314B6"/>
    <w:rsid w:val="41360F5F"/>
    <w:rsid w:val="413815BA"/>
    <w:rsid w:val="413B1BAB"/>
    <w:rsid w:val="41434504"/>
    <w:rsid w:val="41444892"/>
    <w:rsid w:val="41463854"/>
    <w:rsid w:val="4149456B"/>
    <w:rsid w:val="414D59F2"/>
    <w:rsid w:val="414F41D7"/>
    <w:rsid w:val="414F7876"/>
    <w:rsid w:val="41515CEC"/>
    <w:rsid w:val="41546D5F"/>
    <w:rsid w:val="41574A42"/>
    <w:rsid w:val="41583B8B"/>
    <w:rsid w:val="415A0FEF"/>
    <w:rsid w:val="415A6EFE"/>
    <w:rsid w:val="415E680C"/>
    <w:rsid w:val="41602ED0"/>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DD74E9"/>
    <w:rsid w:val="41E4117E"/>
    <w:rsid w:val="41E41803"/>
    <w:rsid w:val="41E52CA5"/>
    <w:rsid w:val="41E6368B"/>
    <w:rsid w:val="41E9705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8B67D2"/>
    <w:rsid w:val="429110B8"/>
    <w:rsid w:val="4295760D"/>
    <w:rsid w:val="429A29B1"/>
    <w:rsid w:val="429C1606"/>
    <w:rsid w:val="42A50044"/>
    <w:rsid w:val="42A87389"/>
    <w:rsid w:val="42B15178"/>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F3A37"/>
    <w:rsid w:val="430121D5"/>
    <w:rsid w:val="43073BEF"/>
    <w:rsid w:val="430A5FFD"/>
    <w:rsid w:val="43100A85"/>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56721"/>
    <w:rsid w:val="434660C5"/>
    <w:rsid w:val="43496F4C"/>
    <w:rsid w:val="434B44DC"/>
    <w:rsid w:val="434D13F6"/>
    <w:rsid w:val="43605DCC"/>
    <w:rsid w:val="436139FB"/>
    <w:rsid w:val="43614CEE"/>
    <w:rsid w:val="4362104C"/>
    <w:rsid w:val="43621947"/>
    <w:rsid w:val="4363090C"/>
    <w:rsid w:val="43637C71"/>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17716"/>
    <w:rsid w:val="43B329A6"/>
    <w:rsid w:val="43B92ECB"/>
    <w:rsid w:val="43C0281C"/>
    <w:rsid w:val="43C02B26"/>
    <w:rsid w:val="43C91C5B"/>
    <w:rsid w:val="43D10A40"/>
    <w:rsid w:val="43D30F21"/>
    <w:rsid w:val="43D67A91"/>
    <w:rsid w:val="43DC5A1D"/>
    <w:rsid w:val="43E21F58"/>
    <w:rsid w:val="43E3106F"/>
    <w:rsid w:val="43E35EF0"/>
    <w:rsid w:val="43F71BCF"/>
    <w:rsid w:val="43F76F69"/>
    <w:rsid w:val="43F90FED"/>
    <w:rsid w:val="43F9776B"/>
    <w:rsid w:val="43FC0DB2"/>
    <w:rsid w:val="43FC24CA"/>
    <w:rsid w:val="44051440"/>
    <w:rsid w:val="44095B4D"/>
    <w:rsid w:val="440C5D56"/>
    <w:rsid w:val="441208E8"/>
    <w:rsid w:val="44153F0C"/>
    <w:rsid w:val="44163D42"/>
    <w:rsid w:val="44174583"/>
    <w:rsid w:val="441A5200"/>
    <w:rsid w:val="441C4432"/>
    <w:rsid w:val="441D506D"/>
    <w:rsid w:val="441E6109"/>
    <w:rsid w:val="44226CC2"/>
    <w:rsid w:val="44243821"/>
    <w:rsid w:val="4425456D"/>
    <w:rsid w:val="44336EAB"/>
    <w:rsid w:val="44393BD3"/>
    <w:rsid w:val="443A225E"/>
    <w:rsid w:val="444109FB"/>
    <w:rsid w:val="44416F50"/>
    <w:rsid w:val="444E22EA"/>
    <w:rsid w:val="4450482F"/>
    <w:rsid w:val="44584267"/>
    <w:rsid w:val="44613B53"/>
    <w:rsid w:val="446F5773"/>
    <w:rsid w:val="44705173"/>
    <w:rsid w:val="44740841"/>
    <w:rsid w:val="4476407C"/>
    <w:rsid w:val="447B4A66"/>
    <w:rsid w:val="447D4136"/>
    <w:rsid w:val="447D50E6"/>
    <w:rsid w:val="44825790"/>
    <w:rsid w:val="44831414"/>
    <w:rsid w:val="44861189"/>
    <w:rsid w:val="44891513"/>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24001"/>
    <w:rsid w:val="44C43057"/>
    <w:rsid w:val="44C46F12"/>
    <w:rsid w:val="44C816C4"/>
    <w:rsid w:val="44C87C0F"/>
    <w:rsid w:val="44C932D0"/>
    <w:rsid w:val="44CB4FB3"/>
    <w:rsid w:val="44D31B1E"/>
    <w:rsid w:val="44D33718"/>
    <w:rsid w:val="44DF6F1B"/>
    <w:rsid w:val="44E54BDC"/>
    <w:rsid w:val="44E92DF3"/>
    <w:rsid w:val="44F82D0E"/>
    <w:rsid w:val="44FF7037"/>
    <w:rsid w:val="45004D64"/>
    <w:rsid w:val="450174D5"/>
    <w:rsid w:val="45123B31"/>
    <w:rsid w:val="4514485C"/>
    <w:rsid w:val="451C5E9C"/>
    <w:rsid w:val="45214561"/>
    <w:rsid w:val="452C5F0A"/>
    <w:rsid w:val="453401C9"/>
    <w:rsid w:val="45347499"/>
    <w:rsid w:val="453579B0"/>
    <w:rsid w:val="45385EDA"/>
    <w:rsid w:val="453F48AB"/>
    <w:rsid w:val="454036A6"/>
    <w:rsid w:val="45432A2A"/>
    <w:rsid w:val="45446179"/>
    <w:rsid w:val="45456FB2"/>
    <w:rsid w:val="454E0AAC"/>
    <w:rsid w:val="454E4F75"/>
    <w:rsid w:val="454E6B7A"/>
    <w:rsid w:val="4551463D"/>
    <w:rsid w:val="45520426"/>
    <w:rsid w:val="45522E35"/>
    <w:rsid w:val="45572AB5"/>
    <w:rsid w:val="455A7708"/>
    <w:rsid w:val="456022B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147A1"/>
    <w:rsid w:val="45B315CE"/>
    <w:rsid w:val="45B5611D"/>
    <w:rsid w:val="45B64B84"/>
    <w:rsid w:val="45BA6033"/>
    <w:rsid w:val="45C85EA2"/>
    <w:rsid w:val="45D54A22"/>
    <w:rsid w:val="45D9022E"/>
    <w:rsid w:val="45DE30BD"/>
    <w:rsid w:val="45E3021B"/>
    <w:rsid w:val="45E37678"/>
    <w:rsid w:val="45E526A6"/>
    <w:rsid w:val="45E56E31"/>
    <w:rsid w:val="45E66893"/>
    <w:rsid w:val="45E826B2"/>
    <w:rsid w:val="45EA380F"/>
    <w:rsid w:val="45F4334C"/>
    <w:rsid w:val="460D2F84"/>
    <w:rsid w:val="460D3781"/>
    <w:rsid w:val="461309F1"/>
    <w:rsid w:val="461B7F64"/>
    <w:rsid w:val="461F36FD"/>
    <w:rsid w:val="4627444E"/>
    <w:rsid w:val="462D4B2D"/>
    <w:rsid w:val="462E4FF5"/>
    <w:rsid w:val="46365246"/>
    <w:rsid w:val="46397422"/>
    <w:rsid w:val="463C41CD"/>
    <w:rsid w:val="463E1C6A"/>
    <w:rsid w:val="46453E63"/>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D4684"/>
    <w:rsid w:val="467E1A24"/>
    <w:rsid w:val="46866306"/>
    <w:rsid w:val="468A27AC"/>
    <w:rsid w:val="468E6888"/>
    <w:rsid w:val="46914620"/>
    <w:rsid w:val="46933EA7"/>
    <w:rsid w:val="46963469"/>
    <w:rsid w:val="46964671"/>
    <w:rsid w:val="46981A1E"/>
    <w:rsid w:val="46987D2F"/>
    <w:rsid w:val="46995896"/>
    <w:rsid w:val="469C5C39"/>
    <w:rsid w:val="469D5DE8"/>
    <w:rsid w:val="46A35C12"/>
    <w:rsid w:val="46A55B0E"/>
    <w:rsid w:val="46A82992"/>
    <w:rsid w:val="46A96CEF"/>
    <w:rsid w:val="46AA501B"/>
    <w:rsid w:val="46AD7A54"/>
    <w:rsid w:val="46B02CAB"/>
    <w:rsid w:val="46B134DD"/>
    <w:rsid w:val="46B419BE"/>
    <w:rsid w:val="46B640D3"/>
    <w:rsid w:val="46B66C70"/>
    <w:rsid w:val="46CD1F17"/>
    <w:rsid w:val="46D126E3"/>
    <w:rsid w:val="46D67289"/>
    <w:rsid w:val="46DB64CD"/>
    <w:rsid w:val="46DD1D17"/>
    <w:rsid w:val="46E1018C"/>
    <w:rsid w:val="46E20226"/>
    <w:rsid w:val="46E462A3"/>
    <w:rsid w:val="46E53AB0"/>
    <w:rsid w:val="46E62CDB"/>
    <w:rsid w:val="46EE5C1E"/>
    <w:rsid w:val="46F117D1"/>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225734"/>
    <w:rsid w:val="47333B1B"/>
    <w:rsid w:val="47351654"/>
    <w:rsid w:val="4736350E"/>
    <w:rsid w:val="4739631A"/>
    <w:rsid w:val="473D0BD8"/>
    <w:rsid w:val="47457188"/>
    <w:rsid w:val="474A7769"/>
    <w:rsid w:val="474E50D5"/>
    <w:rsid w:val="474F3AFA"/>
    <w:rsid w:val="47502F2C"/>
    <w:rsid w:val="47505EC1"/>
    <w:rsid w:val="47557BAF"/>
    <w:rsid w:val="47561DDC"/>
    <w:rsid w:val="47592D4E"/>
    <w:rsid w:val="47644CFB"/>
    <w:rsid w:val="47666951"/>
    <w:rsid w:val="47677CBF"/>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A3013"/>
    <w:rsid w:val="480B1862"/>
    <w:rsid w:val="480B749D"/>
    <w:rsid w:val="480B7A59"/>
    <w:rsid w:val="48111DC2"/>
    <w:rsid w:val="48156BFB"/>
    <w:rsid w:val="48164D90"/>
    <w:rsid w:val="481728B6"/>
    <w:rsid w:val="481E5F8D"/>
    <w:rsid w:val="48204877"/>
    <w:rsid w:val="482B39B5"/>
    <w:rsid w:val="482C0F74"/>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B4BF3"/>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95C04"/>
    <w:rsid w:val="48AF255D"/>
    <w:rsid w:val="48B16C29"/>
    <w:rsid w:val="48B305F1"/>
    <w:rsid w:val="48B44D6B"/>
    <w:rsid w:val="48B470F8"/>
    <w:rsid w:val="48B75AB4"/>
    <w:rsid w:val="48C15721"/>
    <w:rsid w:val="48C17F25"/>
    <w:rsid w:val="48C3444A"/>
    <w:rsid w:val="48C34E74"/>
    <w:rsid w:val="48C43EFA"/>
    <w:rsid w:val="48C538B2"/>
    <w:rsid w:val="48C70477"/>
    <w:rsid w:val="48C72E35"/>
    <w:rsid w:val="48C82BD7"/>
    <w:rsid w:val="48C9414A"/>
    <w:rsid w:val="48CB0DA2"/>
    <w:rsid w:val="48D25798"/>
    <w:rsid w:val="48DC218B"/>
    <w:rsid w:val="48E1714C"/>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9523D"/>
    <w:rsid w:val="493A0176"/>
    <w:rsid w:val="49432B91"/>
    <w:rsid w:val="494502AA"/>
    <w:rsid w:val="494A5505"/>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31B5D"/>
    <w:rsid w:val="49A43EE6"/>
    <w:rsid w:val="49A44C44"/>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672C9"/>
    <w:rsid w:val="4A175A09"/>
    <w:rsid w:val="4A19214F"/>
    <w:rsid w:val="4A1A5A27"/>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403E2"/>
    <w:rsid w:val="4AB60988"/>
    <w:rsid w:val="4AB75FB2"/>
    <w:rsid w:val="4ABB3CDE"/>
    <w:rsid w:val="4AC41CC1"/>
    <w:rsid w:val="4AC4256B"/>
    <w:rsid w:val="4AC46D25"/>
    <w:rsid w:val="4AC66331"/>
    <w:rsid w:val="4AC860DD"/>
    <w:rsid w:val="4AD162A8"/>
    <w:rsid w:val="4AD25C89"/>
    <w:rsid w:val="4AD574D1"/>
    <w:rsid w:val="4AD768C6"/>
    <w:rsid w:val="4AE0796F"/>
    <w:rsid w:val="4AE30444"/>
    <w:rsid w:val="4AE31B85"/>
    <w:rsid w:val="4AEA2918"/>
    <w:rsid w:val="4AEF0F11"/>
    <w:rsid w:val="4AF902F5"/>
    <w:rsid w:val="4AF94D42"/>
    <w:rsid w:val="4AFE3C4A"/>
    <w:rsid w:val="4B0107DC"/>
    <w:rsid w:val="4B020D4E"/>
    <w:rsid w:val="4B021266"/>
    <w:rsid w:val="4B050969"/>
    <w:rsid w:val="4B081F1A"/>
    <w:rsid w:val="4B08619A"/>
    <w:rsid w:val="4B0A119A"/>
    <w:rsid w:val="4B0D6C0E"/>
    <w:rsid w:val="4B11183E"/>
    <w:rsid w:val="4B183767"/>
    <w:rsid w:val="4B1C66E8"/>
    <w:rsid w:val="4B1E3170"/>
    <w:rsid w:val="4B205D7D"/>
    <w:rsid w:val="4B2730E7"/>
    <w:rsid w:val="4B28587C"/>
    <w:rsid w:val="4B292683"/>
    <w:rsid w:val="4B294C7C"/>
    <w:rsid w:val="4B304EAD"/>
    <w:rsid w:val="4B334AEF"/>
    <w:rsid w:val="4B376E2E"/>
    <w:rsid w:val="4B38501D"/>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E7B32"/>
    <w:rsid w:val="4B5F62DD"/>
    <w:rsid w:val="4B632C97"/>
    <w:rsid w:val="4B68369B"/>
    <w:rsid w:val="4B683C6A"/>
    <w:rsid w:val="4B6D2294"/>
    <w:rsid w:val="4B705844"/>
    <w:rsid w:val="4B7224D0"/>
    <w:rsid w:val="4B731C20"/>
    <w:rsid w:val="4B774607"/>
    <w:rsid w:val="4B7A3C96"/>
    <w:rsid w:val="4B7D4F5D"/>
    <w:rsid w:val="4B82716C"/>
    <w:rsid w:val="4B857EC6"/>
    <w:rsid w:val="4B8829C1"/>
    <w:rsid w:val="4B8A2918"/>
    <w:rsid w:val="4B8D0A42"/>
    <w:rsid w:val="4B901807"/>
    <w:rsid w:val="4B92038C"/>
    <w:rsid w:val="4B9A20D1"/>
    <w:rsid w:val="4B9B25E4"/>
    <w:rsid w:val="4B9E314D"/>
    <w:rsid w:val="4BAD4CA2"/>
    <w:rsid w:val="4BB42604"/>
    <w:rsid w:val="4BB548C0"/>
    <w:rsid w:val="4BB5799E"/>
    <w:rsid w:val="4BC1732F"/>
    <w:rsid w:val="4BC456EF"/>
    <w:rsid w:val="4BC647B0"/>
    <w:rsid w:val="4BCB1BAE"/>
    <w:rsid w:val="4BD94F2A"/>
    <w:rsid w:val="4BDC6EEC"/>
    <w:rsid w:val="4BDF4B49"/>
    <w:rsid w:val="4BE43BF5"/>
    <w:rsid w:val="4BE57E16"/>
    <w:rsid w:val="4BE819D0"/>
    <w:rsid w:val="4BE8649D"/>
    <w:rsid w:val="4BEB08D2"/>
    <w:rsid w:val="4BEE6FFD"/>
    <w:rsid w:val="4BFC6FFD"/>
    <w:rsid w:val="4C001A94"/>
    <w:rsid w:val="4C0107B1"/>
    <w:rsid w:val="4C0236B4"/>
    <w:rsid w:val="4C030CF6"/>
    <w:rsid w:val="4C074866"/>
    <w:rsid w:val="4C0C091F"/>
    <w:rsid w:val="4C0E6780"/>
    <w:rsid w:val="4C1321BA"/>
    <w:rsid w:val="4C145CE0"/>
    <w:rsid w:val="4C16297D"/>
    <w:rsid w:val="4C170C9D"/>
    <w:rsid w:val="4C186D56"/>
    <w:rsid w:val="4C192F75"/>
    <w:rsid w:val="4C1B04F8"/>
    <w:rsid w:val="4C1C0BD6"/>
    <w:rsid w:val="4C1E085C"/>
    <w:rsid w:val="4C1E7AAC"/>
    <w:rsid w:val="4C20259F"/>
    <w:rsid w:val="4C2840CB"/>
    <w:rsid w:val="4C312ECF"/>
    <w:rsid w:val="4C422CA7"/>
    <w:rsid w:val="4C427C5C"/>
    <w:rsid w:val="4C4B0D80"/>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AF06FA"/>
    <w:rsid w:val="4CB3742C"/>
    <w:rsid w:val="4CB50036"/>
    <w:rsid w:val="4CB63E1D"/>
    <w:rsid w:val="4CBB546E"/>
    <w:rsid w:val="4CBF657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A652E"/>
    <w:rsid w:val="4D1D6CA0"/>
    <w:rsid w:val="4D226519"/>
    <w:rsid w:val="4D2609C6"/>
    <w:rsid w:val="4D2778AC"/>
    <w:rsid w:val="4D2A2C09"/>
    <w:rsid w:val="4D2B0AE8"/>
    <w:rsid w:val="4D2B2E28"/>
    <w:rsid w:val="4D2F5C2A"/>
    <w:rsid w:val="4D33448A"/>
    <w:rsid w:val="4D3E5124"/>
    <w:rsid w:val="4D3F3AA0"/>
    <w:rsid w:val="4D3F4840"/>
    <w:rsid w:val="4D410392"/>
    <w:rsid w:val="4D422D07"/>
    <w:rsid w:val="4D427BBD"/>
    <w:rsid w:val="4D466A7E"/>
    <w:rsid w:val="4D471D75"/>
    <w:rsid w:val="4D527652"/>
    <w:rsid w:val="4D551492"/>
    <w:rsid w:val="4D5646C6"/>
    <w:rsid w:val="4D570519"/>
    <w:rsid w:val="4D5A2B9C"/>
    <w:rsid w:val="4D5C5732"/>
    <w:rsid w:val="4D601BF0"/>
    <w:rsid w:val="4D656800"/>
    <w:rsid w:val="4D6C4B60"/>
    <w:rsid w:val="4D6D0CFF"/>
    <w:rsid w:val="4D704F42"/>
    <w:rsid w:val="4D705706"/>
    <w:rsid w:val="4D7220A0"/>
    <w:rsid w:val="4D722EC4"/>
    <w:rsid w:val="4D76173E"/>
    <w:rsid w:val="4D795468"/>
    <w:rsid w:val="4D877542"/>
    <w:rsid w:val="4D8814DC"/>
    <w:rsid w:val="4D8A58C0"/>
    <w:rsid w:val="4D8B58D8"/>
    <w:rsid w:val="4D8C494F"/>
    <w:rsid w:val="4D8D11C1"/>
    <w:rsid w:val="4D922BF5"/>
    <w:rsid w:val="4D93445E"/>
    <w:rsid w:val="4D9A5B1B"/>
    <w:rsid w:val="4D9B5A29"/>
    <w:rsid w:val="4DA53BC8"/>
    <w:rsid w:val="4DA72415"/>
    <w:rsid w:val="4DA95570"/>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DFF4545"/>
    <w:rsid w:val="4E007E98"/>
    <w:rsid w:val="4E016672"/>
    <w:rsid w:val="4E066F25"/>
    <w:rsid w:val="4E0939E5"/>
    <w:rsid w:val="4E11493B"/>
    <w:rsid w:val="4E116CCD"/>
    <w:rsid w:val="4E1561BE"/>
    <w:rsid w:val="4E176DF3"/>
    <w:rsid w:val="4E1A2F68"/>
    <w:rsid w:val="4E1B714E"/>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60EA8"/>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02972"/>
    <w:rsid w:val="4EA24CF2"/>
    <w:rsid w:val="4EA9172F"/>
    <w:rsid w:val="4EAC241A"/>
    <w:rsid w:val="4EAE1632"/>
    <w:rsid w:val="4EB2113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81BFB"/>
    <w:rsid w:val="4F0F1D99"/>
    <w:rsid w:val="4F103F86"/>
    <w:rsid w:val="4F155F27"/>
    <w:rsid w:val="4F16131E"/>
    <w:rsid w:val="4F181305"/>
    <w:rsid w:val="4F1A238F"/>
    <w:rsid w:val="4F1D1400"/>
    <w:rsid w:val="4F1D1653"/>
    <w:rsid w:val="4F236F63"/>
    <w:rsid w:val="4F2561BB"/>
    <w:rsid w:val="4F2C365D"/>
    <w:rsid w:val="4F344E60"/>
    <w:rsid w:val="4F36758C"/>
    <w:rsid w:val="4F376D93"/>
    <w:rsid w:val="4F3957DF"/>
    <w:rsid w:val="4F3D4163"/>
    <w:rsid w:val="4F4E7DA7"/>
    <w:rsid w:val="4F50208E"/>
    <w:rsid w:val="4F560A53"/>
    <w:rsid w:val="4F5704A1"/>
    <w:rsid w:val="4F611147"/>
    <w:rsid w:val="4F637BB8"/>
    <w:rsid w:val="4F642884"/>
    <w:rsid w:val="4F64562E"/>
    <w:rsid w:val="4F6D5F69"/>
    <w:rsid w:val="4F6E6F86"/>
    <w:rsid w:val="4F6F2EAF"/>
    <w:rsid w:val="4F7278C6"/>
    <w:rsid w:val="4F764CC2"/>
    <w:rsid w:val="4F7E1BFB"/>
    <w:rsid w:val="4F823D55"/>
    <w:rsid w:val="4F85034E"/>
    <w:rsid w:val="4F9000F4"/>
    <w:rsid w:val="4F983E33"/>
    <w:rsid w:val="4F9A0268"/>
    <w:rsid w:val="4F9B5328"/>
    <w:rsid w:val="4F9B61D7"/>
    <w:rsid w:val="4FAB2D3A"/>
    <w:rsid w:val="4FAB3627"/>
    <w:rsid w:val="4FAB7893"/>
    <w:rsid w:val="4FAC6A89"/>
    <w:rsid w:val="4FAD747B"/>
    <w:rsid w:val="4FB204D9"/>
    <w:rsid w:val="4FB40C2C"/>
    <w:rsid w:val="4FB52A34"/>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B532A"/>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8707D"/>
    <w:rsid w:val="505F1426"/>
    <w:rsid w:val="506309DB"/>
    <w:rsid w:val="50752AF6"/>
    <w:rsid w:val="50771C00"/>
    <w:rsid w:val="507D06D8"/>
    <w:rsid w:val="508027D4"/>
    <w:rsid w:val="50837E99"/>
    <w:rsid w:val="508A668E"/>
    <w:rsid w:val="509A3231"/>
    <w:rsid w:val="509C736A"/>
    <w:rsid w:val="50A2159F"/>
    <w:rsid w:val="50A27585"/>
    <w:rsid w:val="50AC0B91"/>
    <w:rsid w:val="50AF1C59"/>
    <w:rsid w:val="50B139BD"/>
    <w:rsid w:val="50B81974"/>
    <w:rsid w:val="50B92297"/>
    <w:rsid w:val="50BD1498"/>
    <w:rsid w:val="50BE1B1D"/>
    <w:rsid w:val="50BE494F"/>
    <w:rsid w:val="50BF0A68"/>
    <w:rsid w:val="50C2785E"/>
    <w:rsid w:val="50C371C0"/>
    <w:rsid w:val="50C51F05"/>
    <w:rsid w:val="50C555A5"/>
    <w:rsid w:val="50C65C4E"/>
    <w:rsid w:val="50C65E30"/>
    <w:rsid w:val="50C75F36"/>
    <w:rsid w:val="50CC5D21"/>
    <w:rsid w:val="50D228CF"/>
    <w:rsid w:val="50E63519"/>
    <w:rsid w:val="50ED76FB"/>
    <w:rsid w:val="50EF76C7"/>
    <w:rsid w:val="50F33EC0"/>
    <w:rsid w:val="50F568D9"/>
    <w:rsid w:val="50FD2A03"/>
    <w:rsid w:val="510D4A1E"/>
    <w:rsid w:val="51172209"/>
    <w:rsid w:val="51184E6D"/>
    <w:rsid w:val="51187610"/>
    <w:rsid w:val="51196F82"/>
    <w:rsid w:val="511C491F"/>
    <w:rsid w:val="51234937"/>
    <w:rsid w:val="512B350B"/>
    <w:rsid w:val="513571BD"/>
    <w:rsid w:val="51375EB3"/>
    <w:rsid w:val="513853CC"/>
    <w:rsid w:val="51387E2B"/>
    <w:rsid w:val="51392D77"/>
    <w:rsid w:val="513D483E"/>
    <w:rsid w:val="513E09A4"/>
    <w:rsid w:val="513F081D"/>
    <w:rsid w:val="51447510"/>
    <w:rsid w:val="5147420C"/>
    <w:rsid w:val="514C1E16"/>
    <w:rsid w:val="514F0A29"/>
    <w:rsid w:val="5153259C"/>
    <w:rsid w:val="515361F4"/>
    <w:rsid w:val="515529BB"/>
    <w:rsid w:val="515A64E3"/>
    <w:rsid w:val="515C30A6"/>
    <w:rsid w:val="5161698E"/>
    <w:rsid w:val="5163574F"/>
    <w:rsid w:val="51651617"/>
    <w:rsid w:val="5179450A"/>
    <w:rsid w:val="51797588"/>
    <w:rsid w:val="517A638F"/>
    <w:rsid w:val="517C0CA0"/>
    <w:rsid w:val="517D17DB"/>
    <w:rsid w:val="517F00BC"/>
    <w:rsid w:val="51861BC2"/>
    <w:rsid w:val="5188076F"/>
    <w:rsid w:val="518A40F8"/>
    <w:rsid w:val="518B5E73"/>
    <w:rsid w:val="5192108B"/>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837C6"/>
    <w:rsid w:val="51F96848"/>
    <w:rsid w:val="51FB40B5"/>
    <w:rsid w:val="51FD6C98"/>
    <w:rsid w:val="520420FD"/>
    <w:rsid w:val="52063C95"/>
    <w:rsid w:val="52073487"/>
    <w:rsid w:val="520A7B89"/>
    <w:rsid w:val="520E648E"/>
    <w:rsid w:val="521536EF"/>
    <w:rsid w:val="521C5D43"/>
    <w:rsid w:val="521D7ED7"/>
    <w:rsid w:val="52216835"/>
    <w:rsid w:val="52257DA4"/>
    <w:rsid w:val="52292F75"/>
    <w:rsid w:val="52293051"/>
    <w:rsid w:val="522A5E44"/>
    <w:rsid w:val="52325EE7"/>
    <w:rsid w:val="52350A29"/>
    <w:rsid w:val="52362D8B"/>
    <w:rsid w:val="5239194F"/>
    <w:rsid w:val="52393747"/>
    <w:rsid w:val="523F73F7"/>
    <w:rsid w:val="52410684"/>
    <w:rsid w:val="5247460D"/>
    <w:rsid w:val="524D342E"/>
    <w:rsid w:val="524E54BD"/>
    <w:rsid w:val="524F3C18"/>
    <w:rsid w:val="5257696B"/>
    <w:rsid w:val="5258563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74F"/>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121EA"/>
    <w:rsid w:val="52F1442F"/>
    <w:rsid w:val="52F24426"/>
    <w:rsid w:val="52FC1C88"/>
    <w:rsid w:val="53047263"/>
    <w:rsid w:val="5306702F"/>
    <w:rsid w:val="53081041"/>
    <w:rsid w:val="53112C1D"/>
    <w:rsid w:val="531241BA"/>
    <w:rsid w:val="53155215"/>
    <w:rsid w:val="531621BA"/>
    <w:rsid w:val="53177C0E"/>
    <w:rsid w:val="531D0F10"/>
    <w:rsid w:val="531F532A"/>
    <w:rsid w:val="53207ABD"/>
    <w:rsid w:val="53244EF5"/>
    <w:rsid w:val="53264D3B"/>
    <w:rsid w:val="53290BFD"/>
    <w:rsid w:val="53293966"/>
    <w:rsid w:val="532B3E9B"/>
    <w:rsid w:val="532C389F"/>
    <w:rsid w:val="532D753B"/>
    <w:rsid w:val="532F6301"/>
    <w:rsid w:val="533103CD"/>
    <w:rsid w:val="53342F91"/>
    <w:rsid w:val="53361B76"/>
    <w:rsid w:val="533E0346"/>
    <w:rsid w:val="534246C3"/>
    <w:rsid w:val="534454E2"/>
    <w:rsid w:val="53477D18"/>
    <w:rsid w:val="53495ACD"/>
    <w:rsid w:val="534A5181"/>
    <w:rsid w:val="534D1493"/>
    <w:rsid w:val="534D2555"/>
    <w:rsid w:val="534E11CE"/>
    <w:rsid w:val="535337EC"/>
    <w:rsid w:val="53556970"/>
    <w:rsid w:val="535E141D"/>
    <w:rsid w:val="535F500E"/>
    <w:rsid w:val="536250CC"/>
    <w:rsid w:val="5366542B"/>
    <w:rsid w:val="536C23A4"/>
    <w:rsid w:val="536C30EB"/>
    <w:rsid w:val="536C6556"/>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55382"/>
    <w:rsid w:val="53B665EF"/>
    <w:rsid w:val="53BB51C6"/>
    <w:rsid w:val="53BE1FB8"/>
    <w:rsid w:val="53C34D17"/>
    <w:rsid w:val="53C40B3B"/>
    <w:rsid w:val="53C817A7"/>
    <w:rsid w:val="53C877C6"/>
    <w:rsid w:val="53D153F9"/>
    <w:rsid w:val="53DB35A3"/>
    <w:rsid w:val="53DC2808"/>
    <w:rsid w:val="53DD2CA6"/>
    <w:rsid w:val="53DE4BEA"/>
    <w:rsid w:val="53DF54A9"/>
    <w:rsid w:val="53E07B00"/>
    <w:rsid w:val="53E1544E"/>
    <w:rsid w:val="53E27BE1"/>
    <w:rsid w:val="53EA0E7E"/>
    <w:rsid w:val="53EC3D29"/>
    <w:rsid w:val="53EE37DC"/>
    <w:rsid w:val="53F333D9"/>
    <w:rsid w:val="53F52D5C"/>
    <w:rsid w:val="53F80508"/>
    <w:rsid w:val="53F82C13"/>
    <w:rsid w:val="53F90D34"/>
    <w:rsid w:val="53FA05A6"/>
    <w:rsid w:val="54002BFD"/>
    <w:rsid w:val="54036E8C"/>
    <w:rsid w:val="54066342"/>
    <w:rsid w:val="54096B9B"/>
    <w:rsid w:val="540A0F22"/>
    <w:rsid w:val="541942B6"/>
    <w:rsid w:val="541A3E14"/>
    <w:rsid w:val="541A40BD"/>
    <w:rsid w:val="541F38E3"/>
    <w:rsid w:val="542A1803"/>
    <w:rsid w:val="542A3FEF"/>
    <w:rsid w:val="542A5504"/>
    <w:rsid w:val="542F7A60"/>
    <w:rsid w:val="54346136"/>
    <w:rsid w:val="5438183D"/>
    <w:rsid w:val="54427EF5"/>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50B2A"/>
    <w:rsid w:val="54D70EEF"/>
    <w:rsid w:val="54DF688B"/>
    <w:rsid w:val="54E85E2E"/>
    <w:rsid w:val="54E95643"/>
    <w:rsid w:val="54EF1FB8"/>
    <w:rsid w:val="54F20223"/>
    <w:rsid w:val="54F64ECB"/>
    <w:rsid w:val="5505644B"/>
    <w:rsid w:val="550E6C32"/>
    <w:rsid w:val="550F4585"/>
    <w:rsid w:val="551C2E90"/>
    <w:rsid w:val="552D52C7"/>
    <w:rsid w:val="552E55E9"/>
    <w:rsid w:val="55397CF2"/>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045A"/>
    <w:rsid w:val="5587795D"/>
    <w:rsid w:val="55883323"/>
    <w:rsid w:val="55883669"/>
    <w:rsid w:val="558A44CE"/>
    <w:rsid w:val="55906233"/>
    <w:rsid w:val="55910661"/>
    <w:rsid w:val="559537DA"/>
    <w:rsid w:val="559F7787"/>
    <w:rsid w:val="55A47B02"/>
    <w:rsid w:val="55A578C3"/>
    <w:rsid w:val="55A63100"/>
    <w:rsid w:val="55AA5A9F"/>
    <w:rsid w:val="55AB1B1D"/>
    <w:rsid w:val="55B07AA1"/>
    <w:rsid w:val="55B403DD"/>
    <w:rsid w:val="55B50135"/>
    <w:rsid w:val="55B511EE"/>
    <w:rsid w:val="55C0140E"/>
    <w:rsid w:val="55C07EE4"/>
    <w:rsid w:val="55C139AB"/>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05FC9"/>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D47AE"/>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143B"/>
    <w:rsid w:val="56CB6227"/>
    <w:rsid w:val="56CD3C39"/>
    <w:rsid w:val="56CD63CA"/>
    <w:rsid w:val="56CE5F20"/>
    <w:rsid w:val="56D1338D"/>
    <w:rsid w:val="56D31AC8"/>
    <w:rsid w:val="56DA3EBA"/>
    <w:rsid w:val="56DE40C5"/>
    <w:rsid w:val="56E33383"/>
    <w:rsid w:val="56E3418D"/>
    <w:rsid w:val="56E44E21"/>
    <w:rsid w:val="56E81DBE"/>
    <w:rsid w:val="56EA65D6"/>
    <w:rsid w:val="56ED5E03"/>
    <w:rsid w:val="56F456C1"/>
    <w:rsid w:val="56FB0134"/>
    <w:rsid w:val="56FC2728"/>
    <w:rsid w:val="57003F9B"/>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729E9"/>
    <w:rsid w:val="575A2017"/>
    <w:rsid w:val="575C5FBB"/>
    <w:rsid w:val="57685F5D"/>
    <w:rsid w:val="57692A18"/>
    <w:rsid w:val="576B22D6"/>
    <w:rsid w:val="576D6DDF"/>
    <w:rsid w:val="57702374"/>
    <w:rsid w:val="57780ED4"/>
    <w:rsid w:val="577E3A90"/>
    <w:rsid w:val="57803FD4"/>
    <w:rsid w:val="57827F81"/>
    <w:rsid w:val="5783121E"/>
    <w:rsid w:val="57886A0D"/>
    <w:rsid w:val="57896321"/>
    <w:rsid w:val="578B78A1"/>
    <w:rsid w:val="57903D73"/>
    <w:rsid w:val="57955219"/>
    <w:rsid w:val="57965FBE"/>
    <w:rsid w:val="579A7C07"/>
    <w:rsid w:val="579D764D"/>
    <w:rsid w:val="579F309F"/>
    <w:rsid w:val="57A46FEE"/>
    <w:rsid w:val="57AA5A5F"/>
    <w:rsid w:val="57AF7168"/>
    <w:rsid w:val="57B02763"/>
    <w:rsid w:val="57B47272"/>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621E3"/>
    <w:rsid w:val="57E73B61"/>
    <w:rsid w:val="57E97DCB"/>
    <w:rsid w:val="57F01737"/>
    <w:rsid w:val="57F20B62"/>
    <w:rsid w:val="57F316B2"/>
    <w:rsid w:val="57F73696"/>
    <w:rsid w:val="57FA3FC4"/>
    <w:rsid w:val="58005923"/>
    <w:rsid w:val="5803475B"/>
    <w:rsid w:val="58067BED"/>
    <w:rsid w:val="580A6FBE"/>
    <w:rsid w:val="580F0825"/>
    <w:rsid w:val="580F5BC1"/>
    <w:rsid w:val="58153B58"/>
    <w:rsid w:val="581C6E66"/>
    <w:rsid w:val="58200EC4"/>
    <w:rsid w:val="58222A6D"/>
    <w:rsid w:val="5822786C"/>
    <w:rsid w:val="58243371"/>
    <w:rsid w:val="58293CFC"/>
    <w:rsid w:val="58296FA6"/>
    <w:rsid w:val="58302962"/>
    <w:rsid w:val="5835010B"/>
    <w:rsid w:val="583C0D03"/>
    <w:rsid w:val="58407CFE"/>
    <w:rsid w:val="58434BAC"/>
    <w:rsid w:val="58462B56"/>
    <w:rsid w:val="5846366F"/>
    <w:rsid w:val="584654C9"/>
    <w:rsid w:val="58470241"/>
    <w:rsid w:val="58481E8A"/>
    <w:rsid w:val="58484F55"/>
    <w:rsid w:val="584B45E2"/>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1220C3"/>
    <w:rsid w:val="59125193"/>
    <w:rsid w:val="59255E05"/>
    <w:rsid w:val="59267EF0"/>
    <w:rsid w:val="59287A6A"/>
    <w:rsid w:val="592C2EB2"/>
    <w:rsid w:val="59376E4C"/>
    <w:rsid w:val="5939268C"/>
    <w:rsid w:val="593B71D3"/>
    <w:rsid w:val="593E1A51"/>
    <w:rsid w:val="59421F7E"/>
    <w:rsid w:val="59424509"/>
    <w:rsid w:val="594352B9"/>
    <w:rsid w:val="594935F2"/>
    <w:rsid w:val="594C2750"/>
    <w:rsid w:val="59595860"/>
    <w:rsid w:val="595C0946"/>
    <w:rsid w:val="59604A5E"/>
    <w:rsid w:val="59635D3A"/>
    <w:rsid w:val="59642A7A"/>
    <w:rsid w:val="59643735"/>
    <w:rsid w:val="59655357"/>
    <w:rsid w:val="596957AE"/>
    <w:rsid w:val="596D32B4"/>
    <w:rsid w:val="596F5485"/>
    <w:rsid w:val="59735C39"/>
    <w:rsid w:val="5974082A"/>
    <w:rsid w:val="59774D3E"/>
    <w:rsid w:val="597C00C4"/>
    <w:rsid w:val="59854F6F"/>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D3F92"/>
    <w:rsid w:val="59BE1CC3"/>
    <w:rsid w:val="59C13A26"/>
    <w:rsid w:val="59C1506D"/>
    <w:rsid w:val="59C23D49"/>
    <w:rsid w:val="59C503C4"/>
    <w:rsid w:val="59C91BF3"/>
    <w:rsid w:val="59CA57DA"/>
    <w:rsid w:val="59CB73DC"/>
    <w:rsid w:val="59CF7A5A"/>
    <w:rsid w:val="59D02E4C"/>
    <w:rsid w:val="59D906FD"/>
    <w:rsid w:val="59D96DAD"/>
    <w:rsid w:val="59DA6C9E"/>
    <w:rsid w:val="59E11C9B"/>
    <w:rsid w:val="59E143BA"/>
    <w:rsid w:val="59E2737B"/>
    <w:rsid w:val="59E42F2E"/>
    <w:rsid w:val="59E47507"/>
    <w:rsid w:val="59EA6E92"/>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072DA"/>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66E05"/>
    <w:rsid w:val="5A8F76C1"/>
    <w:rsid w:val="5A921A04"/>
    <w:rsid w:val="5A99558C"/>
    <w:rsid w:val="5A9A0A66"/>
    <w:rsid w:val="5AA541CF"/>
    <w:rsid w:val="5AAF48E4"/>
    <w:rsid w:val="5AB37B5F"/>
    <w:rsid w:val="5AB96041"/>
    <w:rsid w:val="5ABA16E1"/>
    <w:rsid w:val="5ABC4831"/>
    <w:rsid w:val="5ABC6BFA"/>
    <w:rsid w:val="5ABF01E8"/>
    <w:rsid w:val="5ABF7466"/>
    <w:rsid w:val="5AC05747"/>
    <w:rsid w:val="5AC366EB"/>
    <w:rsid w:val="5AC43AE0"/>
    <w:rsid w:val="5AC4427C"/>
    <w:rsid w:val="5AC73FC9"/>
    <w:rsid w:val="5AC76ACB"/>
    <w:rsid w:val="5ACE75C5"/>
    <w:rsid w:val="5ACF15D8"/>
    <w:rsid w:val="5AD054B7"/>
    <w:rsid w:val="5AD149C0"/>
    <w:rsid w:val="5AD20D04"/>
    <w:rsid w:val="5AD510F0"/>
    <w:rsid w:val="5AD822B6"/>
    <w:rsid w:val="5AD86DAA"/>
    <w:rsid w:val="5ADC2D5B"/>
    <w:rsid w:val="5AEF0AF8"/>
    <w:rsid w:val="5AF341EB"/>
    <w:rsid w:val="5AF405C5"/>
    <w:rsid w:val="5AF535B6"/>
    <w:rsid w:val="5AF82FCA"/>
    <w:rsid w:val="5AF8657A"/>
    <w:rsid w:val="5AFA42E0"/>
    <w:rsid w:val="5AFD654B"/>
    <w:rsid w:val="5AFE5C3F"/>
    <w:rsid w:val="5AFF4835"/>
    <w:rsid w:val="5B000850"/>
    <w:rsid w:val="5B0C6EB5"/>
    <w:rsid w:val="5B141FB9"/>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05245"/>
    <w:rsid w:val="5B431363"/>
    <w:rsid w:val="5B492D29"/>
    <w:rsid w:val="5B494C21"/>
    <w:rsid w:val="5B4C3725"/>
    <w:rsid w:val="5B5249DF"/>
    <w:rsid w:val="5B532679"/>
    <w:rsid w:val="5B540662"/>
    <w:rsid w:val="5B570BDE"/>
    <w:rsid w:val="5B59179A"/>
    <w:rsid w:val="5B596270"/>
    <w:rsid w:val="5B5B64C5"/>
    <w:rsid w:val="5B5F2FE4"/>
    <w:rsid w:val="5B6207A7"/>
    <w:rsid w:val="5B627DC7"/>
    <w:rsid w:val="5B63287C"/>
    <w:rsid w:val="5B644BDE"/>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109BC"/>
    <w:rsid w:val="5BA24A1D"/>
    <w:rsid w:val="5BA611EF"/>
    <w:rsid w:val="5BA65080"/>
    <w:rsid w:val="5BA76A78"/>
    <w:rsid w:val="5BAD4092"/>
    <w:rsid w:val="5BAF62E8"/>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1F7821"/>
    <w:rsid w:val="5C2218F7"/>
    <w:rsid w:val="5C25291D"/>
    <w:rsid w:val="5C3A291C"/>
    <w:rsid w:val="5C3B2DCF"/>
    <w:rsid w:val="5C3F26AF"/>
    <w:rsid w:val="5C4415EF"/>
    <w:rsid w:val="5C474C2E"/>
    <w:rsid w:val="5C4821F4"/>
    <w:rsid w:val="5C494C6D"/>
    <w:rsid w:val="5C4E5619"/>
    <w:rsid w:val="5C500AF8"/>
    <w:rsid w:val="5C517866"/>
    <w:rsid w:val="5C523483"/>
    <w:rsid w:val="5C5348B4"/>
    <w:rsid w:val="5C5A1297"/>
    <w:rsid w:val="5C5D5EFB"/>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81BF9"/>
    <w:rsid w:val="5CC93DAE"/>
    <w:rsid w:val="5CCF7073"/>
    <w:rsid w:val="5CD31EE3"/>
    <w:rsid w:val="5CD734BB"/>
    <w:rsid w:val="5CD80ABF"/>
    <w:rsid w:val="5CE03F3E"/>
    <w:rsid w:val="5CE1654F"/>
    <w:rsid w:val="5CE47CF9"/>
    <w:rsid w:val="5CE63245"/>
    <w:rsid w:val="5CEB1D70"/>
    <w:rsid w:val="5CF3349A"/>
    <w:rsid w:val="5CF45558"/>
    <w:rsid w:val="5CF7080A"/>
    <w:rsid w:val="5CF70E19"/>
    <w:rsid w:val="5D00730C"/>
    <w:rsid w:val="5D072BC8"/>
    <w:rsid w:val="5D076525"/>
    <w:rsid w:val="5D0A3A75"/>
    <w:rsid w:val="5D0C1CFA"/>
    <w:rsid w:val="5D0E453B"/>
    <w:rsid w:val="5D121B72"/>
    <w:rsid w:val="5D19384D"/>
    <w:rsid w:val="5D2230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7C185A"/>
    <w:rsid w:val="5D7E31D2"/>
    <w:rsid w:val="5D820C77"/>
    <w:rsid w:val="5D826C13"/>
    <w:rsid w:val="5D8428C5"/>
    <w:rsid w:val="5D890A8B"/>
    <w:rsid w:val="5D8B2715"/>
    <w:rsid w:val="5D8D250E"/>
    <w:rsid w:val="5D8D5687"/>
    <w:rsid w:val="5D8F399C"/>
    <w:rsid w:val="5D8F6111"/>
    <w:rsid w:val="5D915AFD"/>
    <w:rsid w:val="5D9404A9"/>
    <w:rsid w:val="5D9A23F4"/>
    <w:rsid w:val="5D9F6617"/>
    <w:rsid w:val="5D9F7C74"/>
    <w:rsid w:val="5DA01B06"/>
    <w:rsid w:val="5DAA158A"/>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11FD"/>
    <w:rsid w:val="5E344390"/>
    <w:rsid w:val="5E352EB6"/>
    <w:rsid w:val="5E400BF0"/>
    <w:rsid w:val="5E4250B0"/>
    <w:rsid w:val="5E4A3E88"/>
    <w:rsid w:val="5E4E539E"/>
    <w:rsid w:val="5E4F0557"/>
    <w:rsid w:val="5E5B2B5A"/>
    <w:rsid w:val="5E5F0687"/>
    <w:rsid w:val="5E6454D9"/>
    <w:rsid w:val="5E680BE8"/>
    <w:rsid w:val="5E6A778C"/>
    <w:rsid w:val="5E6B7FF0"/>
    <w:rsid w:val="5E783202"/>
    <w:rsid w:val="5E7842EE"/>
    <w:rsid w:val="5E7A1A68"/>
    <w:rsid w:val="5E7D44EB"/>
    <w:rsid w:val="5E803D55"/>
    <w:rsid w:val="5E854DAE"/>
    <w:rsid w:val="5E88203D"/>
    <w:rsid w:val="5E8E32A0"/>
    <w:rsid w:val="5E9B7945"/>
    <w:rsid w:val="5EA2798A"/>
    <w:rsid w:val="5EA36A9B"/>
    <w:rsid w:val="5EA42C37"/>
    <w:rsid w:val="5EA648E2"/>
    <w:rsid w:val="5EA71C01"/>
    <w:rsid w:val="5EB24CFE"/>
    <w:rsid w:val="5EB32415"/>
    <w:rsid w:val="5EB52E6F"/>
    <w:rsid w:val="5EBF0B71"/>
    <w:rsid w:val="5EC37A1E"/>
    <w:rsid w:val="5EC94A60"/>
    <w:rsid w:val="5ECA23D8"/>
    <w:rsid w:val="5ECE796D"/>
    <w:rsid w:val="5ED74E21"/>
    <w:rsid w:val="5ED95EEE"/>
    <w:rsid w:val="5EDE3BFC"/>
    <w:rsid w:val="5EE5503B"/>
    <w:rsid w:val="5EE55DDE"/>
    <w:rsid w:val="5EE71334"/>
    <w:rsid w:val="5EF04AC4"/>
    <w:rsid w:val="5EF05EE3"/>
    <w:rsid w:val="5EF27BD4"/>
    <w:rsid w:val="5EF47473"/>
    <w:rsid w:val="5EFE064F"/>
    <w:rsid w:val="5EFF7ED4"/>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71A19"/>
    <w:rsid w:val="5F482400"/>
    <w:rsid w:val="5F4973A1"/>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D0638"/>
    <w:rsid w:val="5F9F1AF5"/>
    <w:rsid w:val="5FA00A10"/>
    <w:rsid w:val="5FA4374A"/>
    <w:rsid w:val="5FA4380A"/>
    <w:rsid w:val="5FA4668F"/>
    <w:rsid w:val="5FA5501A"/>
    <w:rsid w:val="5FAB674F"/>
    <w:rsid w:val="5FB25387"/>
    <w:rsid w:val="5FB6497C"/>
    <w:rsid w:val="5FBD5E8E"/>
    <w:rsid w:val="5FBF3440"/>
    <w:rsid w:val="5FC53509"/>
    <w:rsid w:val="5FCC5D9F"/>
    <w:rsid w:val="5FD045A9"/>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A517F"/>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9558C"/>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9748A"/>
    <w:rsid w:val="612D2321"/>
    <w:rsid w:val="612F769F"/>
    <w:rsid w:val="613964B7"/>
    <w:rsid w:val="6143039D"/>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12E22"/>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E6958"/>
    <w:rsid w:val="624F0394"/>
    <w:rsid w:val="62590ABF"/>
    <w:rsid w:val="625A29D8"/>
    <w:rsid w:val="625B2CDA"/>
    <w:rsid w:val="625B47C2"/>
    <w:rsid w:val="625B79FF"/>
    <w:rsid w:val="625F6E6C"/>
    <w:rsid w:val="62624625"/>
    <w:rsid w:val="62630C6B"/>
    <w:rsid w:val="627301E8"/>
    <w:rsid w:val="627369C7"/>
    <w:rsid w:val="62832BCA"/>
    <w:rsid w:val="628D57F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076D84"/>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2F8B"/>
    <w:rsid w:val="63584B3D"/>
    <w:rsid w:val="635A0249"/>
    <w:rsid w:val="635A1B7D"/>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AE011A"/>
    <w:rsid w:val="63B02C42"/>
    <w:rsid w:val="63C35974"/>
    <w:rsid w:val="63C51AD9"/>
    <w:rsid w:val="63C54411"/>
    <w:rsid w:val="63C733FE"/>
    <w:rsid w:val="63C9048D"/>
    <w:rsid w:val="63CD27C8"/>
    <w:rsid w:val="63CD4C2D"/>
    <w:rsid w:val="63CF2629"/>
    <w:rsid w:val="63D2647C"/>
    <w:rsid w:val="63D33EFA"/>
    <w:rsid w:val="63D40E51"/>
    <w:rsid w:val="63D52E6F"/>
    <w:rsid w:val="63D7745D"/>
    <w:rsid w:val="63D85FCA"/>
    <w:rsid w:val="63E01736"/>
    <w:rsid w:val="63E263F4"/>
    <w:rsid w:val="63E418C9"/>
    <w:rsid w:val="63E621EB"/>
    <w:rsid w:val="63F3703E"/>
    <w:rsid w:val="63F55755"/>
    <w:rsid w:val="63F95EB6"/>
    <w:rsid w:val="63FB6EC6"/>
    <w:rsid w:val="63FC2C34"/>
    <w:rsid w:val="63FD7654"/>
    <w:rsid w:val="63FE7312"/>
    <w:rsid w:val="640022DF"/>
    <w:rsid w:val="640A7217"/>
    <w:rsid w:val="640B24A8"/>
    <w:rsid w:val="640C2BB6"/>
    <w:rsid w:val="640C6632"/>
    <w:rsid w:val="6411454E"/>
    <w:rsid w:val="64225C1C"/>
    <w:rsid w:val="642437E9"/>
    <w:rsid w:val="642A59F3"/>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245C0"/>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414A"/>
    <w:rsid w:val="64B453B1"/>
    <w:rsid w:val="64BE5702"/>
    <w:rsid w:val="64C16289"/>
    <w:rsid w:val="64C67703"/>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86A04"/>
    <w:rsid w:val="663D054E"/>
    <w:rsid w:val="66404DE3"/>
    <w:rsid w:val="66460692"/>
    <w:rsid w:val="6658158E"/>
    <w:rsid w:val="66631FDD"/>
    <w:rsid w:val="66634E10"/>
    <w:rsid w:val="6667104F"/>
    <w:rsid w:val="666B0D20"/>
    <w:rsid w:val="66727620"/>
    <w:rsid w:val="66763229"/>
    <w:rsid w:val="66763EED"/>
    <w:rsid w:val="66782A0E"/>
    <w:rsid w:val="667930F9"/>
    <w:rsid w:val="6679372B"/>
    <w:rsid w:val="667A5713"/>
    <w:rsid w:val="667B3C56"/>
    <w:rsid w:val="667F13C3"/>
    <w:rsid w:val="66822EA8"/>
    <w:rsid w:val="668441F3"/>
    <w:rsid w:val="668533D7"/>
    <w:rsid w:val="668B6CBD"/>
    <w:rsid w:val="66953491"/>
    <w:rsid w:val="66980BF6"/>
    <w:rsid w:val="66A24A73"/>
    <w:rsid w:val="66A27600"/>
    <w:rsid w:val="66A56CDB"/>
    <w:rsid w:val="66A93116"/>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37149"/>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C4CD5"/>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1834"/>
    <w:rsid w:val="67A67078"/>
    <w:rsid w:val="67A70987"/>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445DF"/>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86396"/>
    <w:rsid w:val="68495F2A"/>
    <w:rsid w:val="684A6664"/>
    <w:rsid w:val="684F1282"/>
    <w:rsid w:val="6850356A"/>
    <w:rsid w:val="685465AC"/>
    <w:rsid w:val="68562439"/>
    <w:rsid w:val="68650339"/>
    <w:rsid w:val="68651915"/>
    <w:rsid w:val="68670AE1"/>
    <w:rsid w:val="6867379E"/>
    <w:rsid w:val="68733F18"/>
    <w:rsid w:val="687442EE"/>
    <w:rsid w:val="68772A56"/>
    <w:rsid w:val="687C7996"/>
    <w:rsid w:val="687E1768"/>
    <w:rsid w:val="687F4FBC"/>
    <w:rsid w:val="68823697"/>
    <w:rsid w:val="689709C7"/>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840F9"/>
    <w:rsid w:val="68CA4525"/>
    <w:rsid w:val="68D94717"/>
    <w:rsid w:val="68DD619B"/>
    <w:rsid w:val="68EC3A15"/>
    <w:rsid w:val="68ED69A7"/>
    <w:rsid w:val="68FD5593"/>
    <w:rsid w:val="69006D22"/>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19D7"/>
    <w:rsid w:val="695048C2"/>
    <w:rsid w:val="6951205B"/>
    <w:rsid w:val="6953741D"/>
    <w:rsid w:val="69552B47"/>
    <w:rsid w:val="6956014F"/>
    <w:rsid w:val="696F3842"/>
    <w:rsid w:val="69713E8B"/>
    <w:rsid w:val="69731101"/>
    <w:rsid w:val="6974083C"/>
    <w:rsid w:val="697D087B"/>
    <w:rsid w:val="697F3EF0"/>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1332B"/>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148BD"/>
    <w:rsid w:val="69F224F8"/>
    <w:rsid w:val="69F3045E"/>
    <w:rsid w:val="69F343D3"/>
    <w:rsid w:val="69F3790F"/>
    <w:rsid w:val="6A036F5F"/>
    <w:rsid w:val="6A064BF7"/>
    <w:rsid w:val="6A093665"/>
    <w:rsid w:val="6A121AB8"/>
    <w:rsid w:val="6A12415B"/>
    <w:rsid w:val="6A152CC8"/>
    <w:rsid w:val="6A1567FD"/>
    <w:rsid w:val="6A172663"/>
    <w:rsid w:val="6A1D05D4"/>
    <w:rsid w:val="6A245089"/>
    <w:rsid w:val="6A25601C"/>
    <w:rsid w:val="6A2750C5"/>
    <w:rsid w:val="6A281BA5"/>
    <w:rsid w:val="6A290AA5"/>
    <w:rsid w:val="6A2A46CE"/>
    <w:rsid w:val="6A2C7141"/>
    <w:rsid w:val="6A2F521E"/>
    <w:rsid w:val="6A3A1167"/>
    <w:rsid w:val="6A3D030C"/>
    <w:rsid w:val="6A3D3FA6"/>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06CD"/>
    <w:rsid w:val="6A7F5162"/>
    <w:rsid w:val="6A800FE2"/>
    <w:rsid w:val="6A80364F"/>
    <w:rsid w:val="6A89112C"/>
    <w:rsid w:val="6A8C3EFF"/>
    <w:rsid w:val="6A905626"/>
    <w:rsid w:val="6A916EED"/>
    <w:rsid w:val="6A930EAF"/>
    <w:rsid w:val="6A9371B0"/>
    <w:rsid w:val="6A937D23"/>
    <w:rsid w:val="6A960003"/>
    <w:rsid w:val="6A990082"/>
    <w:rsid w:val="6A9B5915"/>
    <w:rsid w:val="6A9B7735"/>
    <w:rsid w:val="6AA02774"/>
    <w:rsid w:val="6AA05CD8"/>
    <w:rsid w:val="6AA258AD"/>
    <w:rsid w:val="6AA41157"/>
    <w:rsid w:val="6AA67D9D"/>
    <w:rsid w:val="6AAB2AD1"/>
    <w:rsid w:val="6AAE5F36"/>
    <w:rsid w:val="6AAF2259"/>
    <w:rsid w:val="6AB14817"/>
    <w:rsid w:val="6AB45A03"/>
    <w:rsid w:val="6ABE4FFD"/>
    <w:rsid w:val="6AC76B40"/>
    <w:rsid w:val="6AD3421A"/>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05217"/>
    <w:rsid w:val="6B1B1CC8"/>
    <w:rsid w:val="6B1E05E1"/>
    <w:rsid w:val="6B21318E"/>
    <w:rsid w:val="6B227A15"/>
    <w:rsid w:val="6B2432C2"/>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8F7255"/>
    <w:rsid w:val="6B95396B"/>
    <w:rsid w:val="6BA344F1"/>
    <w:rsid w:val="6BAA2D23"/>
    <w:rsid w:val="6BAC0EF7"/>
    <w:rsid w:val="6BAD2501"/>
    <w:rsid w:val="6BB90470"/>
    <w:rsid w:val="6BBB00B1"/>
    <w:rsid w:val="6BBD3E9D"/>
    <w:rsid w:val="6BBF0EA5"/>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B2973"/>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5D6834"/>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54A85"/>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C27DC"/>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B4931"/>
    <w:rsid w:val="6D5D3D5C"/>
    <w:rsid w:val="6D5E64E8"/>
    <w:rsid w:val="6D621A21"/>
    <w:rsid w:val="6D652ED0"/>
    <w:rsid w:val="6D662717"/>
    <w:rsid w:val="6D663299"/>
    <w:rsid w:val="6D770FC8"/>
    <w:rsid w:val="6D790A31"/>
    <w:rsid w:val="6D7D5646"/>
    <w:rsid w:val="6D7D69B3"/>
    <w:rsid w:val="6D7E0B5E"/>
    <w:rsid w:val="6D807862"/>
    <w:rsid w:val="6D811E5F"/>
    <w:rsid w:val="6D816186"/>
    <w:rsid w:val="6D8F5451"/>
    <w:rsid w:val="6D90338E"/>
    <w:rsid w:val="6D925740"/>
    <w:rsid w:val="6D9D3EE4"/>
    <w:rsid w:val="6D9E7C69"/>
    <w:rsid w:val="6D9F6A54"/>
    <w:rsid w:val="6DA71839"/>
    <w:rsid w:val="6DA84071"/>
    <w:rsid w:val="6DB20233"/>
    <w:rsid w:val="6DB66FF0"/>
    <w:rsid w:val="6DB81D13"/>
    <w:rsid w:val="6DBB5BFC"/>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A3305"/>
    <w:rsid w:val="6E1B4CD0"/>
    <w:rsid w:val="6E1C2489"/>
    <w:rsid w:val="6E1D776A"/>
    <w:rsid w:val="6E225993"/>
    <w:rsid w:val="6E2A0DD8"/>
    <w:rsid w:val="6E3552B0"/>
    <w:rsid w:val="6E35742E"/>
    <w:rsid w:val="6E376A3A"/>
    <w:rsid w:val="6E3E181B"/>
    <w:rsid w:val="6E3F1C0F"/>
    <w:rsid w:val="6E484191"/>
    <w:rsid w:val="6E492F1A"/>
    <w:rsid w:val="6E4E018F"/>
    <w:rsid w:val="6E4E0EC4"/>
    <w:rsid w:val="6E561494"/>
    <w:rsid w:val="6E567CD0"/>
    <w:rsid w:val="6E5C099F"/>
    <w:rsid w:val="6E5F2DE6"/>
    <w:rsid w:val="6E606342"/>
    <w:rsid w:val="6E606731"/>
    <w:rsid w:val="6E633CB5"/>
    <w:rsid w:val="6E651C83"/>
    <w:rsid w:val="6E6C7AB6"/>
    <w:rsid w:val="6E7106EF"/>
    <w:rsid w:val="6E7158DA"/>
    <w:rsid w:val="6E72570E"/>
    <w:rsid w:val="6E734770"/>
    <w:rsid w:val="6E785A45"/>
    <w:rsid w:val="6E796FC0"/>
    <w:rsid w:val="6E7F4527"/>
    <w:rsid w:val="6E83317D"/>
    <w:rsid w:val="6E8B20DB"/>
    <w:rsid w:val="6E917497"/>
    <w:rsid w:val="6EA13305"/>
    <w:rsid w:val="6EA43493"/>
    <w:rsid w:val="6EAA5555"/>
    <w:rsid w:val="6EAB29FB"/>
    <w:rsid w:val="6EB32B7F"/>
    <w:rsid w:val="6EB406C2"/>
    <w:rsid w:val="6EB46F18"/>
    <w:rsid w:val="6EB63507"/>
    <w:rsid w:val="6EB9017D"/>
    <w:rsid w:val="6EB95FEB"/>
    <w:rsid w:val="6EBA1C3B"/>
    <w:rsid w:val="6EBD1212"/>
    <w:rsid w:val="6EBD4DFF"/>
    <w:rsid w:val="6EC23093"/>
    <w:rsid w:val="6EC23231"/>
    <w:rsid w:val="6EC310A5"/>
    <w:rsid w:val="6EC43237"/>
    <w:rsid w:val="6EC566CD"/>
    <w:rsid w:val="6EC73357"/>
    <w:rsid w:val="6EC737C7"/>
    <w:rsid w:val="6ECA2727"/>
    <w:rsid w:val="6ECD2CEA"/>
    <w:rsid w:val="6ED163C0"/>
    <w:rsid w:val="6ED266F7"/>
    <w:rsid w:val="6EE3511C"/>
    <w:rsid w:val="6EE939F2"/>
    <w:rsid w:val="6EF22C5A"/>
    <w:rsid w:val="6EFF612B"/>
    <w:rsid w:val="6F021829"/>
    <w:rsid w:val="6F08724A"/>
    <w:rsid w:val="6F14289F"/>
    <w:rsid w:val="6F153E64"/>
    <w:rsid w:val="6F162C84"/>
    <w:rsid w:val="6F2357D8"/>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B23E3"/>
    <w:rsid w:val="6F7E1B78"/>
    <w:rsid w:val="6F967ACA"/>
    <w:rsid w:val="6F9A4660"/>
    <w:rsid w:val="6F9C5D71"/>
    <w:rsid w:val="6FA3781E"/>
    <w:rsid w:val="6FA668EF"/>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3138F"/>
    <w:rsid w:val="6FF561D1"/>
    <w:rsid w:val="6FFE0085"/>
    <w:rsid w:val="6FFF10F4"/>
    <w:rsid w:val="700477C8"/>
    <w:rsid w:val="70065F3C"/>
    <w:rsid w:val="700C0460"/>
    <w:rsid w:val="700C41FF"/>
    <w:rsid w:val="701458A7"/>
    <w:rsid w:val="70146689"/>
    <w:rsid w:val="70152C7C"/>
    <w:rsid w:val="70170F2B"/>
    <w:rsid w:val="701830B7"/>
    <w:rsid w:val="701C3A0F"/>
    <w:rsid w:val="701E2FAB"/>
    <w:rsid w:val="70206C25"/>
    <w:rsid w:val="702267D2"/>
    <w:rsid w:val="70266264"/>
    <w:rsid w:val="70291A05"/>
    <w:rsid w:val="70370653"/>
    <w:rsid w:val="70385F59"/>
    <w:rsid w:val="70387A8F"/>
    <w:rsid w:val="703E5095"/>
    <w:rsid w:val="70423736"/>
    <w:rsid w:val="70494AF1"/>
    <w:rsid w:val="704A6916"/>
    <w:rsid w:val="7054528E"/>
    <w:rsid w:val="70555B90"/>
    <w:rsid w:val="705E76BE"/>
    <w:rsid w:val="70680AC8"/>
    <w:rsid w:val="70684400"/>
    <w:rsid w:val="706A12A6"/>
    <w:rsid w:val="706D51B8"/>
    <w:rsid w:val="706F1F45"/>
    <w:rsid w:val="70712877"/>
    <w:rsid w:val="70737F32"/>
    <w:rsid w:val="70767F2C"/>
    <w:rsid w:val="70785A86"/>
    <w:rsid w:val="707E62BB"/>
    <w:rsid w:val="70871107"/>
    <w:rsid w:val="7088437E"/>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20F54"/>
    <w:rsid w:val="71017D80"/>
    <w:rsid w:val="71031632"/>
    <w:rsid w:val="710524E2"/>
    <w:rsid w:val="71066269"/>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3292B"/>
    <w:rsid w:val="71890883"/>
    <w:rsid w:val="718B3A9F"/>
    <w:rsid w:val="71924FC1"/>
    <w:rsid w:val="71936186"/>
    <w:rsid w:val="71A2244A"/>
    <w:rsid w:val="71A36DE5"/>
    <w:rsid w:val="71A535F8"/>
    <w:rsid w:val="71A5684D"/>
    <w:rsid w:val="71AD6C8E"/>
    <w:rsid w:val="71AE2BD5"/>
    <w:rsid w:val="71AF2F66"/>
    <w:rsid w:val="71B06996"/>
    <w:rsid w:val="71B0735B"/>
    <w:rsid w:val="71B31BCF"/>
    <w:rsid w:val="71B40CF8"/>
    <w:rsid w:val="71B76D3C"/>
    <w:rsid w:val="71B97F67"/>
    <w:rsid w:val="71BA3B1E"/>
    <w:rsid w:val="71BB412E"/>
    <w:rsid w:val="71BC7EA6"/>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30F0"/>
    <w:rsid w:val="71E55F75"/>
    <w:rsid w:val="71E56A62"/>
    <w:rsid w:val="71E767FC"/>
    <w:rsid w:val="71EA7EFE"/>
    <w:rsid w:val="71EE60F6"/>
    <w:rsid w:val="71EF5D41"/>
    <w:rsid w:val="71F2174E"/>
    <w:rsid w:val="71F246E2"/>
    <w:rsid w:val="71F26295"/>
    <w:rsid w:val="71F64447"/>
    <w:rsid w:val="71F855C3"/>
    <w:rsid w:val="71FB028A"/>
    <w:rsid w:val="71FC70DF"/>
    <w:rsid w:val="720319CB"/>
    <w:rsid w:val="72056436"/>
    <w:rsid w:val="720979A0"/>
    <w:rsid w:val="720F633E"/>
    <w:rsid w:val="72130B93"/>
    <w:rsid w:val="72192578"/>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C5A6E"/>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028FA"/>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8475E"/>
    <w:rsid w:val="73DB12EA"/>
    <w:rsid w:val="73DB45F5"/>
    <w:rsid w:val="73DD2FB8"/>
    <w:rsid w:val="73DD3CB3"/>
    <w:rsid w:val="73DE1AB7"/>
    <w:rsid w:val="73E3171A"/>
    <w:rsid w:val="73EC7C9D"/>
    <w:rsid w:val="73EE45A8"/>
    <w:rsid w:val="73EE6F0E"/>
    <w:rsid w:val="73F305B7"/>
    <w:rsid w:val="73F5257C"/>
    <w:rsid w:val="73F67B1C"/>
    <w:rsid w:val="73F8258B"/>
    <w:rsid w:val="73FF2CB2"/>
    <w:rsid w:val="7402716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5546CB"/>
    <w:rsid w:val="7467225C"/>
    <w:rsid w:val="746B086B"/>
    <w:rsid w:val="746B2FD5"/>
    <w:rsid w:val="746C430C"/>
    <w:rsid w:val="746D6628"/>
    <w:rsid w:val="74712155"/>
    <w:rsid w:val="74745BDE"/>
    <w:rsid w:val="74775754"/>
    <w:rsid w:val="74782A8C"/>
    <w:rsid w:val="747C7F5F"/>
    <w:rsid w:val="747F0E23"/>
    <w:rsid w:val="74894C93"/>
    <w:rsid w:val="74964674"/>
    <w:rsid w:val="749D5800"/>
    <w:rsid w:val="74A53A24"/>
    <w:rsid w:val="74A63A12"/>
    <w:rsid w:val="74A73312"/>
    <w:rsid w:val="74A739B2"/>
    <w:rsid w:val="74B06962"/>
    <w:rsid w:val="74B32215"/>
    <w:rsid w:val="74BC7516"/>
    <w:rsid w:val="74C0607C"/>
    <w:rsid w:val="74C46840"/>
    <w:rsid w:val="74CC2B9D"/>
    <w:rsid w:val="74D575AA"/>
    <w:rsid w:val="74D71DDE"/>
    <w:rsid w:val="74D80B53"/>
    <w:rsid w:val="74D95703"/>
    <w:rsid w:val="74DA7956"/>
    <w:rsid w:val="74E11F86"/>
    <w:rsid w:val="74E420F7"/>
    <w:rsid w:val="74FB509B"/>
    <w:rsid w:val="74FB6035"/>
    <w:rsid w:val="74FF07F1"/>
    <w:rsid w:val="75017A4C"/>
    <w:rsid w:val="7502618E"/>
    <w:rsid w:val="7507587E"/>
    <w:rsid w:val="75076FFE"/>
    <w:rsid w:val="750934A8"/>
    <w:rsid w:val="750A15E4"/>
    <w:rsid w:val="750C46DC"/>
    <w:rsid w:val="750C76FA"/>
    <w:rsid w:val="751E29FC"/>
    <w:rsid w:val="752B3381"/>
    <w:rsid w:val="752D5343"/>
    <w:rsid w:val="75325694"/>
    <w:rsid w:val="7534402F"/>
    <w:rsid w:val="75376E15"/>
    <w:rsid w:val="753913DE"/>
    <w:rsid w:val="753B454F"/>
    <w:rsid w:val="753D2F68"/>
    <w:rsid w:val="753D6B7D"/>
    <w:rsid w:val="75441B17"/>
    <w:rsid w:val="75457EFF"/>
    <w:rsid w:val="7554481F"/>
    <w:rsid w:val="75594581"/>
    <w:rsid w:val="755A35FA"/>
    <w:rsid w:val="755A5494"/>
    <w:rsid w:val="75625A16"/>
    <w:rsid w:val="75630CAA"/>
    <w:rsid w:val="7564200E"/>
    <w:rsid w:val="75663FD1"/>
    <w:rsid w:val="75677137"/>
    <w:rsid w:val="75696461"/>
    <w:rsid w:val="756F19B6"/>
    <w:rsid w:val="757540E3"/>
    <w:rsid w:val="75785C52"/>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C0F7F"/>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03094"/>
    <w:rsid w:val="76622786"/>
    <w:rsid w:val="766314AA"/>
    <w:rsid w:val="76671958"/>
    <w:rsid w:val="76674D6A"/>
    <w:rsid w:val="7667706B"/>
    <w:rsid w:val="76690632"/>
    <w:rsid w:val="766E0B9F"/>
    <w:rsid w:val="766F546C"/>
    <w:rsid w:val="767469E2"/>
    <w:rsid w:val="76775F0B"/>
    <w:rsid w:val="767A76A8"/>
    <w:rsid w:val="767B2BA3"/>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1858"/>
    <w:rsid w:val="771244E7"/>
    <w:rsid w:val="771865D9"/>
    <w:rsid w:val="77187F65"/>
    <w:rsid w:val="771C46CE"/>
    <w:rsid w:val="772611CE"/>
    <w:rsid w:val="77284F7D"/>
    <w:rsid w:val="7729766A"/>
    <w:rsid w:val="772D35A6"/>
    <w:rsid w:val="772D3786"/>
    <w:rsid w:val="773A62B8"/>
    <w:rsid w:val="773C186D"/>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36EA8"/>
    <w:rsid w:val="777B5F51"/>
    <w:rsid w:val="777D347E"/>
    <w:rsid w:val="777D3B96"/>
    <w:rsid w:val="777D53E6"/>
    <w:rsid w:val="777E1FE2"/>
    <w:rsid w:val="777F4894"/>
    <w:rsid w:val="777F7D93"/>
    <w:rsid w:val="778067C2"/>
    <w:rsid w:val="77847A56"/>
    <w:rsid w:val="77884DA5"/>
    <w:rsid w:val="778C5286"/>
    <w:rsid w:val="778F0D7D"/>
    <w:rsid w:val="778F49BD"/>
    <w:rsid w:val="77917B1B"/>
    <w:rsid w:val="77966F4C"/>
    <w:rsid w:val="779A317D"/>
    <w:rsid w:val="779D7890"/>
    <w:rsid w:val="779E1756"/>
    <w:rsid w:val="779E309B"/>
    <w:rsid w:val="77A022D6"/>
    <w:rsid w:val="77A31525"/>
    <w:rsid w:val="77A47BCA"/>
    <w:rsid w:val="77A75021"/>
    <w:rsid w:val="77B4796D"/>
    <w:rsid w:val="77B8689C"/>
    <w:rsid w:val="77BA458E"/>
    <w:rsid w:val="77BD5A24"/>
    <w:rsid w:val="77C04848"/>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10A63"/>
    <w:rsid w:val="782466AD"/>
    <w:rsid w:val="782700AD"/>
    <w:rsid w:val="782A738E"/>
    <w:rsid w:val="782B31BA"/>
    <w:rsid w:val="782D7161"/>
    <w:rsid w:val="78306028"/>
    <w:rsid w:val="78316382"/>
    <w:rsid w:val="78326BCF"/>
    <w:rsid w:val="78355626"/>
    <w:rsid w:val="783643C3"/>
    <w:rsid w:val="78375EBD"/>
    <w:rsid w:val="783A01F4"/>
    <w:rsid w:val="783A5239"/>
    <w:rsid w:val="783E2636"/>
    <w:rsid w:val="784151EC"/>
    <w:rsid w:val="784563AF"/>
    <w:rsid w:val="78480067"/>
    <w:rsid w:val="7849196F"/>
    <w:rsid w:val="784B39E4"/>
    <w:rsid w:val="78591903"/>
    <w:rsid w:val="78593D58"/>
    <w:rsid w:val="785A6E3C"/>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9E0306"/>
    <w:rsid w:val="78A04E20"/>
    <w:rsid w:val="78A36BF5"/>
    <w:rsid w:val="78A54847"/>
    <w:rsid w:val="78A561F3"/>
    <w:rsid w:val="78A56271"/>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5383"/>
    <w:rsid w:val="78C9689B"/>
    <w:rsid w:val="78CD2BDF"/>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6F0F99"/>
    <w:rsid w:val="7971290E"/>
    <w:rsid w:val="797450AA"/>
    <w:rsid w:val="79756908"/>
    <w:rsid w:val="79762768"/>
    <w:rsid w:val="797951A9"/>
    <w:rsid w:val="797C0892"/>
    <w:rsid w:val="7984574E"/>
    <w:rsid w:val="798C57FA"/>
    <w:rsid w:val="798E4989"/>
    <w:rsid w:val="7990174F"/>
    <w:rsid w:val="799537B4"/>
    <w:rsid w:val="799A4E91"/>
    <w:rsid w:val="799D236B"/>
    <w:rsid w:val="79A02BCA"/>
    <w:rsid w:val="79A15149"/>
    <w:rsid w:val="79A37CCA"/>
    <w:rsid w:val="79A71C2E"/>
    <w:rsid w:val="79A74BCA"/>
    <w:rsid w:val="79A75AAF"/>
    <w:rsid w:val="79A8657B"/>
    <w:rsid w:val="79AC6EF3"/>
    <w:rsid w:val="79AE39E9"/>
    <w:rsid w:val="79B416E2"/>
    <w:rsid w:val="79B57356"/>
    <w:rsid w:val="79B90F42"/>
    <w:rsid w:val="79BD3E41"/>
    <w:rsid w:val="79BF2784"/>
    <w:rsid w:val="79C0597A"/>
    <w:rsid w:val="79C24EDF"/>
    <w:rsid w:val="79C66717"/>
    <w:rsid w:val="79C876AF"/>
    <w:rsid w:val="79C9013E"/>
    <w:rsid w:val="79C95AED"/>
    <w:rsid w:val="79D20267"/>
    <w:rsid w:val="79D378EE"/>
    <w:rsid w:val="79D62785"/>
    <w:rsid w:val="79D62A71"/>
    <w:rsid w:val="79DF1EBA"/>
    <w:rsid w:val="79E07F61"/>
    <w:rsid w:val="79E12ED9"/>
    <w:rsid w:val="79E352FF"/>
    <w:rsid w:val="79E5505B"/>
    <w:rsid w:val="79E77EA2"/>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15876"/>
    <w:rsid w:val="7A245751"/>
    <w:rsid w:val="7A262C2D"/>
    <w:rsid w:val="7A281BEA"/>
    <w:rsid w:val="7A291938"/>
    <w:rsid w:val="7A303F52"/>
    <w:rsid w:val="7A377740"/>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9214B"/>
    <w:rsid w:val="7A8B0BA1"/>
    <w:rsid w:val="7A9123B7"/>
    <w:rsid w:val="7A9711EE"/>
    <w:rsid w:val="7A9A1B33"/>
    <w:rsid w:val="7A9B74B6"/>
    <w:rsid w:val="7A9C3E5C"/>
    <w:rsid w:val="7A9D1CEF"/>
    <w:rsid w:val="7AA16CBD"/>
    <w:rsid w:val="7AA360D0"/>
    <w:rsid w:val="7AA5277A"/>
    <w:rsid w:val="7AA6700D"/>
    <w:rsid w:val="7AA774AE"/>
    <w:rsid w:val="7AA952CF"/>
    <w:rsid w:val="7AAC193E"/>
    <w:rsid w:val="7AAE678B"/>
    <w:rsid w:val="7AB07C78"/>
    <w:rsid w:val="7AB41F79"/>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46B46"/>
    <w:rsid w:val="7B0846CB"/>
    <w:rsid w:val="7B0C08EF"/>
    <w:rsid w:val="7B18546A"/>
    <w:rsid w:val="7B1B467F"/>
    <w:rsid w:val="7B1E73DE"/>
    <w:rsid w:val="7B1F59AA"/>
    <w:rsid w:val="7B214978"/>
    <w:rsid w:val="7B391012"/>
    <w:rsid w:val="7B394905"/>
    <w:rsid w:val="7B3E674E"/>
    <w:rsid w:val="7B471906"/>
    <w:rsid w:val="7B4A5781"/>
    <w:rsid w:val="7B4C03D4"/>
    <w:rsid w:val="7B4E09BF"/>
    <w:rsid w:val="7B546C0C"/>
    <w:rsid w:val="7B5C2F14"/>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6FC2"/>
    <w:rsid w:val="7BAB7079"/>
    <w:rsid w:val="7BB145C1"/>
    <w:rsid w:val="7BB2241E"/>
    <w:rsid w:val="7BB37F9E"/>
    <w:rsid w:val="7BBB0C1C"/>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206952"/>
    <w:rsid w:val="7C25298A"/>
    <w:rsid w:val="7C2D1C60"/>
    <w:rsid w:val="7C306953"/>
    <w:rsid w:val="7C360C0D"/>
    <w:rsid w:val="7C3832F5"/>
    <w:rsid w:val="7C42281E"/>
    <w:rsid w:val="7C472DAB"/>
    <w:rsid w:val="7C550FEC"/>
    <w:rsid w:val="7C574C21"/>
    <w:rsid w:val="7C5A70F3"/>
    <w:rsid w:val="7C5C40BF"/>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73C2D"/>
    <w:rsid w:val="7CAE7576"/>
    <w:rsid w:val="7CB027DF"/>
    <w:rsid w:val="7CB2364E"/>
    <w:rsid w:val="7CB271E9"/>
    <w:rsid w:val="7CB62523"/>
    <w:rsid w:val="7CB912D6"/>
    <w:rsid w:val="7CBC0D5A"/>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34BDB"/>
    <w:rsid w:val="7D060FAD"/>
    <w:rsid w:val="7D0826CA"/>
    <w:rsid w:val="7D087430"/>
    <w:rsid w:val="7D0D06E5"/>
    <w:rsid w:val="7D130509"/>
    <w:rsid w:val="7D1946C0"/>
    <w:rsid w:val="7D1D7FE9"/>
    <w:rsid w:val="7D1F26E4"/>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C299F"/>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804B8"/>
    <w:rsid w:val="7DFB573F"/>
    <w:rsid w:val="7DFE63E1"/>
    <w:rsid w:val="7E006A11"/>
    <w:rsid w:val="7E043ED9"/>
    <w:rsid w:val="7E104623"/>
    <w:rsid w:val="7E105802"/>
    <w:rsid w:val="7E111AD7"/>
    <w:rsid w:val="7E121751"/>
    <w:rsid w:val="7E146CC2"/>
    <w:rsid w:val="7E18519E"/>
    <w:rsid w:val="7E1A2016"/>
    <w:rsid w:val="7E1C55F3"/>
    <w:rsid w:val="7E202566"/>
    <w:rsid w:val="7E222965"/>
    <w:rsid w:val="7E293001"/>
    <w:rsid w:val="7E2D6A9A"/>
    <w:rsid w:val="7E2E7A36"/>
    <w:rsid w:val="7E2E7D3F"/>
    <w:rsid w:val="7E2F1D57"/>
    <w:rsid w:val="7E327E17"/>
    <w:rsid w:val="7E330B2F"/>
    <w:rsid w:val="7E347694"/>
    <w:rsid w:val="7E37347A"/>
    <w:rsid w:val="7E3763AF"/>
    <w:rsid w:val="7E393DD7"/>
    <w:rsid w:val="7E3B5911"/>
    <w:rsid w:val="7E452536"/>
    <w:rsid w:val="7E495416"/>
    <w:rsid w:val="7E497873"/>
    <w:rsid w:val="7E4A44B6"/>
    <w:rsid w:val="7E4C7986"/>
    <w:rsid w:val="7E523F24"/>
    <w:rsid w:val="7E5576B9"/>
    <w:rsid w:val="7E570488"/>
    <w:rsid w:val="7E573082"/>
    <w:rsid w:val="7E593C4C"/>
    <w:rsid w:val="7E6B34F5"/>
    <w:rsid w:val="7E712F31"/>
    <w:rsid w:val="7E73403B"/>
    <w:rsid w:val="7E750E81"/>
    <w:rsid w:val="7E760C9A"/>
    <w:rsid w:val="7E761EFC"/>
    <w:rsid w:val="7E79060D"/>
    <w:rsid w:val="7E7B2257"/>
    <w:rsid w:val="7E7E2B41"/>
    <w:rsid w:val="7E8104AE"/>
    <w:rsid w:val="7E82428D"/>
    <w:rsid w:val="7E8D3E75"/>
    <w:rsid w:val="7E9044A6"/>
    <w:rsid w:val="7E922E52"/>
    <w:rsid w:val="7E9868C2"/>
    <w:rsid w:val="7E996A44"/>
    <w:rsid w:val="7EA10518"/>
    <w:rsid w:val="7EA37537"/>
    <w:rsid w:val="7EA37826"/>
    <w:rsid w:val="7EA45F4A"/>
    <w:rsid w:val="7EA87297"/>
    <w:rsid w:val="7EAE1E9B"/>
    <w:rsid w:val="7EB260E3"/>
    <w:rsid w:val="7EB56059"/>
    <w:rsid w:val="7EB73383"/>
    <w:rsid w:val="7EBD506F"/>
    <w:rsid w:val="7EC206DA"/>
    <w:rsid w:val="7EC22792"/>
    <w:rsid w:val="7EC23404"/>
    <w:rsid w:val="7EC57DB4"/>
    <w:rsid w:val="7ED55364"/>
    <w:rsid w:val="7ED61FF8"/>
    <w:rsid w:val="7ED766B7"/>
    <w:rsid w:val="7EDA1938"/>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C4975"/>
    <w:rsid w:val="7F4D7FF2"/>
    <w:rsid w:val="7F536DE1"/>
    <w:rsid w:val="7F6128F4"/>
    <w:rsid w:val="7F6339F7"/>
    <w:rsid w:val="7F6E10C2"/>
    <w:rsid w:val="7F7B4EFD"/>
    <w:rsid w:val="7F7E49B6"/>
    <w:rsid w:val="7F8403DB"/>
    <w:rsid w:val="7F853FCE"/>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 w:type="paragraph" w:customStyle="1" w:styleId="119">
    <w:name w:val="样式1"/>
    <w:basedOn w:val="1"/>
    <w:qFormat/>
    <w:uiPriority w:val="0"/>
    <w:pPr>
      <w:keepNext/>
      <w:keepLines/>
      <w:widowControl/>
      <w:pBdr>
        <w:top w:val="single" w:color="auto" w:sz="12" w:space="1"/>
      </w:pBdr>
      <w:tabs>
        <w:tab w:val="left" w:pos="567"/>
      </w:tabs>
      <w:adjustRightInd w:val="0"/>
      <w:spacing w:before="240" w:after="180" w:line="260" w:lineRule="auto"/>
      <w:outlineLvl w:val="2"/>
    </w:pPr>
    <w:rPr>
      <w:rFonts w:hint="eastAsia" w:ascii="Arial" w:hAnsi="Arial"/>
      <w:kern w:val="0"/>
      <w:sz w:val="32"/>
      <w:szCs w:val="36"/>
    </w:rPr>
  </w:style>
  <w:style w:type="paragraph" w:customStyle="1" w:styleId="120">
    <w:name w:val="样式 Arial 11 磅 加粗 左侧:  0 厘米 悬挂缩进: 19.87 字符 段前: 0.5 行 段后: 0...."/>
    <w:basedOn w:val="1"/>
    <w:qFormat/>
    <w:uiPriority w:val="0"/>
    <w:pPr>
      <w:spacing w:after="0"/>
      <w:ind w:left="1985" w:hanging="1985"/>
    </w:pPr>
    <w:rPr>
      <w:rFonts w:ascii="Arial" w:hAnsi="Arial" w:cs="宋体"/>
      <w:b/>
      <w:bCs/>
      <w:sz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00F4D-F902-4CC7-B60A-B7B98724165F}">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5</Pages>
  <Words>1169</Words>
  <Characters>5764</Characters>
  <Lines>118</Lines>
  <Paragraphs>33</Paragraphs>
  <TotalTime>0</TotalTime>
  <ScaleCrop>false</ScaleCrop>
  <LinksUpToDate>false</LinksUpToDate>
  <CharactersWithSpaces>6926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2025-05-21T00:07:00Z</dcterms:created>
  <dc:creator>ZTE</dc:creator>
  <cp:lastModifiedBy>ZTE, Fei Xue</cp:lastModifiedBy>
  <dcterms:modified xsi:type="dcterms:W3CDTF">2025-09-08T10:47:13Z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